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color w:val="000000"/>
          <w:szCs w:val="21"/>
        </w:rPr>
      </w:pPr>
      <w:r>
        <w:rPr>
          <w:rFonts w:hint="eastAsia" w:ascii="宋体" w:hAnsi="宋体" w:cs="宋体"/>
          <w:b/>
          <w:bCs/>
          <w:color w:val="000000"/>
          <w:szCs w:val="21"/>
        </w:rPr>
        <w:t xml:space="preserve">                                         合同编号：</w:t>
      </w:r>
    </w:p>
    <w:p>
      <w:pPr>
        <w:spacing w:line="360" w:lineRule="auto"/>
        <w:jc w:val="center"/>
        <w:rPr>
          <w:rFonts w:hint="eastAsia" w:ascii="宋体" w:hAnsi="宋体" w:cs="宋体"/>
          <w:b/>
          <w:bCs/>
          <w:color w:val="000000"/>
          <w:sz w:val="52"/>
          <w:szCs w:val="52"/>
        </w:rPr>
      </w:pPr>
    </w:p>
    <w:p>
      <w:pPr>
        <w:spacing w:line="360" w:lineRule="auto"/>
        <w:jc w:val="center"/>
        <w:rPr>
          <w:rFonts w:hint="eastAsia" w:ascii="宋体" w:hAnsi="宋体" w:cs="宋体"/>
          <w:b/>
          <w:bCs/>
          <w:color w:val="000000"/>
          <w:sz w:val="52"/>
          <w:szCs w:val="52"/>
        </w:rPr>
      </w:pPr>
      <w:r>
        <w:rPr>
          <w:rFonts w:hint="eastAsia" w:ascii="宋体" w:hAnsi="宋体" w:cs="宋体"/>
          <w:b/>
          <w:bCs/>
          <w:color w:val="000000"/>
          <w:sz w:val="52"/>
          <w:szCs w:val="52"/>
        </w:rPr>
        <w:t>深圳市必尚供应链有限公司</w:t>
      </w:r>
    </w:p>
    <w:p>
      <w:pPr>
        <w:spacing w:line="360" w:lineRule="auto"/>
        <w:jc w:val="center"/>
        <w:rPr>
          <w:rFonts w:hint="eastAsia" w:ascii="宋体" w:hAnsi="宋体" w:cs="宋体"/>
          <w:b/>
          <w:bCs/>
          <w:color w:val="000000"/>
          <w:sz w:val="52"/>
          <w:szCs w:val="52"/>
        </w:rPr>
      </w:pPr>
    </w:p>
    <w:p>
      <w:pPr>
        <w:rPr>
          <w:rFonts w:hint="eastAsia" w:ascii="宋体" w:hAnsi="宋体"/>
          <w:sz w:val="41"/>
        </w:rPr>
      </w:pPr>
    </w:p>
    <w:p>
      <w:pPr>
        <w:spacing w:line="360" w:lineRule="auto"/>
        <w:jc w:val="center"/>
        <w:rPr>
          <w:rFonts w:hint="eastAsia" w:ascii="宋体" w:hAnsi="宋体" w:cs="宋体"/>
          <w:b/>
          <w:bCs/>
          <w:color w:val="000000"/>
          <w:sz w:val="52"/>
          <w:szCs w:val="52"/>
        </w:rPr>
      </w:pPr>
      <w:r>
        <w:rPr>
          <w:rFonts w:hint="eastAsia" w:ascii="宋体" w:hAnsi="宋体" w:cs="宋体"/>
          <w:b/>
          <w:bCs/>
          <w:color w:val="000000"/>
          <w:sz w:val="52"/>
          <w:szCs w:val="52"/>
          <w:lang w:val="zh-CN"/>
        </w:rPr>
        <w:t>房山</w:t>
      </w:r>
      <w:r>
        <w:rPr>
          <w:rFonts w:hint="eastAsia" w:ascii="宋体" w:hAnsi="宋体" w:cs="宋体"/>
          <w:b/>
          <w:bCs/>
          <w:color w:val="000000"/>
          <w:sz w:val="52"/>
          <w:szCs w:val="52"/>
        </w:rPr>
        <w:t>区生物质资源再生中心项目</w:t>
      </w:r>
    </w:p>
    <w:p>
      <w:pPr>
        <w:jc w:val="center"/>
        <w:rPr>
          <w:rFonts w:hint="eastAsia" w:ascii="宋体" w:hAnsi="宋体" w:cs="宋体"/>
          <w:b/>
          <w:bCs/>
          <w:color w:val="000000"/>
          <w:sz w:val="52"/>
          <w:szCs w:val="52"/>
        </w:rPr>
      </w:pPr>
      <w:r>
        <w:rPr>
          <w:rFonts w:hint="eastAsia" w:ascii="宋体" w:hAnsi="宋体" w:cs="宋体"/>
          <w:b/>
          <w:bCs/>
          <w:color w:val="000000"/>
          <w:sz w:val="52"/>
          <w:szCs w:val="52"/>
        </w:rPr>
        <w:t>沼渣输送</w:t>
      </w:r>
      <w:r>
        <w:rPr>
          <w:rFonts w:ascii="宋体" w:hAnsi="宋体" w:cs="宋体"/>
          <w:b/>
          <w:bCs/>
          <w:color w:val="000000"/>
          <w:sz w:val="52"/>
          <w:szCs w:val="52"/>
        </w:rPr>
        <w:t>及存储</w:t>
      </w:r>
      <w:r>
        <w:rPr>
          <w:rFonts w:hint="eastAsia" w:ascii="宋体" w:hAnsi="宋体" w:cs="宋体"/>
          <w:b/>
          <w:bCs/>
          <w:color w:val="000000"/>
          <w:sz w:val="52"/>
          <w:szCs w:val="52"/>
        </w:rPr>
        <w:t>单元设备及服务采购</w:t>
      </w:r>
    </w:p>
    <w:p>
      <w:pPr>
        <w:jc w:val="center"/>
        <w:rPr>
          <w:rFonts w:hint="eastAsia" w:ascii="宋体" w:hAnsi="宋体" w:cs="宋体"/>
          <w:b/>
          <w:bCs/>
          <w:color w:val="000000"/>
          <w:sz w:val="52"/>
          <w:szCs w:val="52"/>
        </w:rPr>
      </w:pPr>
      <w:r>
        <w:rPr>
          <w:rFonts w:hint="eastAsia" w:ascii="宋体" w:hAnsi="宋体" w:cs="宋体"/>
          <w:b/>
          <w:bCs/>
          <w:color w:val="000000"/>
          <w:sz w:val="52"/>
          <w:szCs w:val="52"/>
        </w:rPr>
        <w:t>技术需求书</w:t>
      </w:r>
    </w:p>
    <w:p>
      <w:pPr>
        <w:widowControl/>
        <w:adjustRightInd w:val="0"/>
        <w:snapToGrid w:val="0"/>
        <w:spacing w:line="360" w:lineRule="auto"/>
        <w:jc w:val="center"/>
        <w:rPr>
          <w:rFonts w:hint="eastAsia" w:ascii="宋体" w:hAnsi="宋体"/>
          <w:sz w:val="44"/>
          <w:szCs w:val="44"/>
        </w:rPr>
      </w:pPr>
      <w:r>
        <w:rPr>
          <w:rFonts w:hint="eastAsia" w:ascii="宋体" w:hAnsi="宋体"/>
          <w:sz w:val="44"/>
          <w:szCs w:val="44"/>
        </w:rPr>
        <w:t>（设计</w:t>
      </w:r>
      <w:r>
        <w:rPr>
          <w:rFonts w:ascii="宋体" w:hAnsi="宋体"/>
          <w:sz w:val="44"/>
          <w:szCs w:val="44"/>
        </w:rPr>
        <w:t>、供货、安装、调试</w:t>
      </w:r>
      <w:r>
        <w:rPr>
          <w:rFonts w:hint="eastAsia" w:ascii="宋体" w:hAnsi="宋体"/>
          <w:sz w:val="44"/>
          <w:szCs w:val="44"/>
        </w:rPr>
        <w:t>）</w:t>
      </w:r>
    </w:p>
    <w:p>
      <w:pPr>
        <w:snapToGrid w:val="0"/>
        <w:spacing w:line="360" w:lineRule="auto"/>
        <w:jc w:val="center"/>
        <w:rPr>
          <w:rFonts w:hint="eastAsia" w:ascii="宋体" w:hAnsi="宋体"/>
          <w:sz w:val="28"/>
          <w:szCs w:val="28"/>
        </w:rPr>
      </w:pPr>
    </w:p>
    <w:p>
      <w:pPr>
        <w:jc w:val="center"/>
        <w:rPr>
          <w:rFonts w:hint="eastAsia" w:ascii="宋体" w:hAnsi="宋体"/>
          <w:sz w:val="28"/>
          <w:szCs w:val="28"/>
        </w:rPr>
      </w:pPr>
    </w:p>
    <w:p>
      <w:pPr>
        <w:rPr>
          <w:rFonts w:hint="eastAsia" w:ascii="宋体" w:hAnsi="宋体"/>
          <w:sz w:val="36"/>
          <w:szCs w:val="36"/>
          <w:u w:val="single"/>
        </w:rPr>
      </w:pPr>
    </w:p>
    <w:p>
      <w:pPr>
        <w:jc w:val="center"/>
        <w:rPr>
          <w:rFonts w:hint="eastAsia" w:ascii="宋体" w:hAnsi="宋体"/>
          <w:sz w:val="36"/>
          <w:szCs w:val="36"/>
          <w:u w:val="single"/>
        </w:rPr>
      </w:pPr>
    </w:p>
    <w:p>
      <w:pPr>
        <w:widowControl/>
        <w:adjustRightInd w:val="0"/>
        <w:snapToGrid w:val="0"/>
        <w:spacing w:line="360" w:lineRule="auto"/>
        <w:ind w:firstLine="2100" w:firstLineChars="700"/>
        <w:rPr>
          <w:rFonts w:hint="eastAsia" w:ascii="宋体" w:hAnsi="宋体"/>
          <w:sz w:val="30"/>
          <w:szCs w:val="30"/>
        </w:rPr>
      </w:pPr>
      <w:r>
        <w:rPr>
          <w:rFonts w:hint="eastAsia" w:ascii="宋体" w:hAnsi="宋体"/>
          <w:sz w:val="30"/>
          <w:szCs w:val="30"/>
        </w:rPr>
        <w:t>（招标编号:</w:t>
      </w:r>
      <w:r>
        <w:rPr>
          <w:rFonts w:ascii="宋体" w:hAnsi="宋体"/>
          <w:sz w:val="30"/>
          <w:szCs w:val="30"/>
        </w:rPr>
        <w:t xml:space="preserve"> </w:t>
      </w:r>
      <w:r>
        <w:rPr>
          <w:rFonts w:hint="eastAsia" w:ascii="宋体" w:hAnsi="宋体"/>
          <w:sz w:val="30"/>
          <w:szCs w:val="30"/>
        </w:rPr>
        <w:t>）</w:t>
      </w: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jc w:val="center"/>
        <w:rPr>
          <w:rFonts w:hint="eastAsia" w:ascii="宋体" w:hAnsi="宋体"/>
          <w:sz w:val="28"/>
          <w:szCs w:val="28"/>
        </w:rPr>
      </w:pPr>
    </w:p>
    <w:p>
      <w:pPr>
        <w:jc w:val="center"/>
        <w:rPr>
          <w:rFonts w:hint="eastAsia" w:ascii="宋体" w:hAnsi="宋体"/>
          <w:sz w:val="28"/>
          <w:szCs w:val="28"/>
        </w:rPr>
      </w:pPr>
    </w:p>
    <w:p>
      <w:pPr>
        <w:widowControl/>
        <w:adjustRightInd w:val="0"/>
        <w:snapToGrid w:val="0"/>
        <w:spacing w:line="360" w:lineRule="auto"/>
        <w:jc w:val="center"/>
        <w:rPr>
          <w:rFonts w:hint="eastAsia" w:ascii="宋体" w:hAnsi="宋体"/>
          <w:sz w:val="30"/>
          <w:szCs w:val="30"/>
        </w:rPr>
      </w:pPr>
      <w:r>
        <w:rPr>
          <w:rFonts w:hint="eastAsia" w:ascii="宋体" w:hAnsi="宋体"/>
          <w:sz w:val="30"/>
          <w:szCs w:val="30"/>
        </w:rPr>
        <w:t>招</w:t>
      </w:r>
      <w:r>
        <w:rPr>
          <w:rFonts w:ascii="宋体" w:hAnsi="宋体"/>
          <w:sz w:val="30"/>
          <w:szCs w:val="30"/>
        </w:rPr>
        <w:t>标</w:t>
      </w:r>
      <w:r>
        <w:rPr>
          <w:rFonts w:hint="eastAsia" w:ascii="宋体" w:hAnsi="宋体"/>
          <w:sz w:val="30"/>
          <w:szCs w:val="30"/>
        </w:rPr>
        <w:t>人</w:t>
      </w:r>
      <w:r>
        <w:rPr>
          <w:rFonts w:ascii="宋体" w:hAnsi="宋体"/>
          <w:sz w:val="30"/>
          <w:szCs w:val="30"/>
        </w:rPr>
        <w:t>：深圳市必尚供应链有限公司司</w:t>
      </w:r>
    </w:p>
    <w:p>
      <w:pPr>
        <w:widowControl/>
        <w:adjustRightInd w:val="0"/>
        <w:snapToGrid w:val="0"/>
        <w:spacing w:line="360" w:lineRule="auto"/>
        <w:jc w:val="center"/>
        <w:rPr>
          <w:rFonts w:hint="eastAsia" w:ascii="宋体" w:hAnsi="宋体"/>
          <w:sz w:val="30"/>
          <w:szCs w:val="30"/>
        </w:rPr>
      </w:pPr>
      <w:r>
        <w:rPr>
          <w:rFonts w:ascii="宋体" w:hAnsi="宋体"/>
          <w:sz w:val="30"/>
          <w:szCs w:val="30"/>
        </w:rPr>
        <w:t>202</w:t>
      </w:r>
      <w:r>
        <w:rPr>
          <w:rFonts w:hint="eastAsia" w:ascii="宋体" w:hAnsi="宋体"/>
          <w:sz w:val="30"/>
          <w:szCs w:val="30"/>
        </w:rPr>
        <w:t>4年10月</w:t>
      </w:r>
    </w:p>
    <w:p>
      <w:pPr>
        <w:pStyle w:val="8"/>
        <w:spacing w:after="72"/>
        <w:jc w:val="center"/>
        <w:rPr>
          <w:rFonts w:hint="eastAsia" w:ascii="宋体" w:hAnsi="宋体"/>
          <w:b/>
          <w:sz w:val="80"/>
          <w:szCs w:val="80"/>
        </w:rPr>
      </w:pPr>
    </w:p>
    <w:p>
      <w:pPr>
        <w:pStyle w:val="13"/>
        <w:numPr>
          <w:ilvl w:val="0"/>
          <w:numId w:val="1"/>
        </w:numPr>
        <w:jc w:val="left"/>
        <w:rPr>
          <w:sz w:val="28"/>
          <w:szCs w:val="28"/>
        </w:rPr>
      </w:pPr>
      <w:r>
        <w:rPr>
          <w:rFonts w:hint="eastAsia"/>
          <w:sz w:val="28"/>
          <w:szCs w:val="28"/>
        </w:rPr>
        <w:t>项目概述</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w:t>
      </w:r>
      <w:r>
        <w:rPr>
          <w:rFonts w:asciiTheme="minorEastAsia" w:hAnsiTheme="minorEastAsia" w:eastAsiaTheme="minorEastAsia" w:cstheme="minorEastAsia"/>
          <w:sz w:val="24"/>
          <w:szCs w:val="24"/>
        </w:rPr>
        <w:t>名称：</w:t>
      </w:r>
      <w:r>
        <w:rPr>
          <w:rFonts w:hint="eastAsia"/>
          <w:kern w:val="0"/>
          <w:sz w:val="24"/>
          <w:szCs w:val="24"/>
          <w:lang w:val="zh-CN"/>
        </w:rPr>
        <w:t>房山</w:t>
      </w:r>
      <w:r>
        <w:rPr>
          <w:rFonts w:hint="eastAsia"/>
          <w:kern w:val="0"/>
          <w:sz w:val="24"/>
          <w:szCs w:val="24"/>
        </w:rPr>
        <w:t>区生物质资源再生中心</w:t>
      </w:r>
      <w:r>
        <w:rPr>
          <w:kern w:val="0"/>
          <w:sz w:val="24"/>
          <w:szCs w:val="24"/>
        </w:rPr>
        <w:t>项目</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项目地址：本项目位于北京市房山区琉璃河镇东南召填埋场东侧，项目用地规划为环卫设施用地（U22），项目建设用地面积为59979.58平方米。</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项目</w:t>
      </w:r>
      <w:r>
        <w:rPr>
          <w:rFonts w:hint="eastAsia" w:asciiTheme="minorEastAsia" w:hAnsiTheme="minorEastAsia" w:eastAsiaTheme="minorEastAsia" w:cstheme="minorEastAsia"/>
          <w:sz w:val="24"/>
          <w:szCs w:val="24"/>
        </w:rPr>
        <w:t>规模</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本项目</w:t>
      </w:r>
      <w:r>
        <w:rPr>
          <w:rFonts w:hint="eastAsia" w:asciiTheme="minorEastAsia" w:hAnsiTheme="minorEastAsia" w:eastAsiaTheme="minorEastAsia" w:cstheme="minorEastAsia"/>
          <w:sz w:val="24"/>
          <w:szCs w:val="24"/>
          <w:lang w:val="zh-CN"/>
        </w:rPr>
        <w:t>设计</w:t>
      </w:r>
      <w:r>
        <w:rPr>
          <w:rFonts w:hint="eastAsia" w:asciiTheme="minorEastAsia" w:hAnsiTheme="minorEastAsia" w:eastAsiaTheme="minorEastAsia" w:cstheme="minorEastAsia"/>
          <w:sz w:val="24"/>
          <w:szCs w:val="24"/>
        </w:rPr>
        <w:t>处理总规模为750吨/天，其中，餐厨垃圾处理规模为200吨/天，厨余垃圾处理规模300吨/天，粪便处理规模为200吨/天，废弃油脂处理规模50吨/天。</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供电条件</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电源：380/220v±10%   50Hz±2%   三相五线制</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接地电阻：               ≤4Ω；</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接地方式：               TN-S，联合接地</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设备用途：用于</w:t>
      </w:r>
      <w:r>
        <w:rPr>
          <w:rFonts w:hint="eastAsia" w:asciiTheme="minorEastAsia" w:hAnsiTheme="minorEastAsia" w:eastAsiaTheme="minorEastAsia" w:cstheme="minorEastAsia"/>
          <w:sz w:val="24"/>
          <w:szCs w:val="24"/>
        </w:rPr>
        <w:t>房山区</w:t>
      </w:r>
      <w:r>
        <w:rPr>
          <w:rFonts w:hint="eastAsia"/>
          <w:kern w:val="0"/>
          <w:sz w:val="24"/>
          <w:szCs w:val="24"/>
        </w:rPr>
        <w:t>生物质资源再生中心</w:t>
      </w:r>
      <w:r>
        <w:rPr>
          <w:kern w:val="0"/>
          <w:sz w:val="24"/>
          <w:szCs w:val="24"/>
        </w:rPr>
        <w:t>项目</w:t>
      </w:r>
      <w:r>
        <w:rPr>
          <w:rFonts w:asciiTheme="minorEastAsia" w:hAnsiTheme="minorEastAsia" w:eastAsiaTheme="minorEastAsia" w:cstheme="minorEastAsia"/>
          <w:sz w:val="24"/>
          <w:szCs w:val="24"/>
        </w:rPr>
        <w:t>沼渣脱水车间</w:t>
      </w:r>
      <w:r>
        <w:rPr>
          <w:rFonts w:hint="eastAsia" w:asciiTheme="minorEastAsia" w:hAnsiTheme="minorEastAsia" w:eastAsiaTheme="minorEastAsia" w:cstheme="minorEastAsia"/>
          <w:sz w:val="24"/>
          <w:szCs w:val="24"/>
        </w:rPr>
        <w:t>压滤机沼渣</w:t>
      </w:r>
      <w:r>
        <w:rPr>
          <w:rFonts w:asciiTheme="minorEastAsia" w:hAnsiTheme="minorEastAsia" w:eastAsiaTheme="minorEastAsia" w:cstheme="minorEastAsia"/>
          <w:sz w:val="24"/>
          <w:szCs w:val="24"/>
        </w:rPr>
        <w:t>脱水产生的泥饼输送</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暂存及转移。</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 待定，</w:t>
      </w:r>
      <w:r>
        <w:rPr>
          <w:rFonts w:asciiTheme="minorEastAsia" w:hAnsiTheme="minorEastAsia" w:eastAsiaTheme="minorEastAsia" w:cstheme="minorEastAsia"/>
          <w:sz w:val="24"/>
          <w:szCs w:val="24"/>
        </w:rPr>
        <w:t>具体安装时间根据现场</w:t>
      </w:r>
      <w:r>
        <w:rPr>
          <w:rFonts w:hint="eastAsia" w:asciiTheme="minorEastAsia" w:hAnsiTheme="minorEastAsia" w:eastAsiaTheme="minorEastAsia" w:cstheme="minorEastAsia"/>
          <w:sz w:val="24"/>
          <w:szCs w:val="24"/>
        </w:rPr>
        <w:t>施工</w:t>
      </w:r>
      <w:r>
        <w:rPr>
          <w:rFonts w:asciiTheme="minorEastAsia" w:hAnsiTheme="minorEastAsia" w:eastAsiaTheme="minorEastAsia" w:cstheme="minorEastAsia"/>
          <w:sz w:val="24"/>
          <w:szCs w:val="24"/>
        </w:rPr>
        <w:t>条件确定</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交货地点：房山区琉璃河镇东南召填埋场东侧</w:t>
      </w:r>
      <w:r>
        <w:rPr>
          <w:rFonts w:hint="eastAsia"/>
          <w:kern w:val="0"/>
          <w:sz w:val="24"/>
          <w:szCs w:val="24"/>
          <w:lang w:val="zh-CN"/>
        </w:rPr>
        <w:t>房山</w:t>
      </w:r>
      <w:r>
        <w:rPr>
          <w:rFonts w:hint="eastAsia"/>
          <w:kern w:val="0"/>
          <w:sz w:val="24"/>
          <w:szCs w:val="24"/>
        </w:rPr>
        <w:t>区生物质资源再生中心</w:t>
      </w:r>
      <w:r>
        <w:rPr>
          <w:kern w:val="0"/>
          <w:sz w:val="24"/>
          <w:szCs w:val="24"/>
        </w:rPr>
        <w:t>项目</w:t>
      </w:r>
      <w:r>
        <w:rPr>
          <w:rFonts w:hint="eastAsia"/>
          <w:kern w:val="0"/>
          <w:sz w:val="24"/>
          <w:szCs w:val="24"/>
        </w:rPr>
        <w:t>场地内</w:t>
      </w:r>
      <w:r>
        <w:rPr>
          <w:rFonts w:hint="eastAsia" w:asciiTheme="minorEastAsia" w:hAnsiTheme="minorEastAsia" w:eastAsiaTheme="minorEastAsia" w:cstheme="minorEastAsia"/>
          <w:sz w:val="24"/>
          <w:szCs w:val="24"/>
        </w:rPr>
        <w:t>或买方指定位置。</w:t>
      </w:r>
    </w:p>
    <w:p>
      <w:pPr>
        <w:pStyle w:val="13"/>
        <w:numPr>
          <w:ilvl w:val="0"/>
          <w:numId w:val="1"/>
        </w:numPr>
        <w:jc w:val="left"/>
        <w:rPr>
          <w:sz w:val="28"/>
          <w:szCs w:val="28"/>
        </w:rPr>
      </w:pPr>
      <w:r>
        <w:rPr>
          <w:rFonts w:hint="eastAsia"/>
          <w:sz w:val="28"/>
          <w:szCs w:val="28"/>
        </w:rPr>
        <w:t>设备清单及参数</w:t>
      </w:r>
      <w:r>
        <w:rPr>
          <w:sz w:val="28"/>
          <w:szCs w:val="28"/>
        </w:rPr>
        <w:t>说明</w:t>
      </w:r>
    </w:p>
    <w:tbl>
      <w:tblPr>
        <w:tblStyle w:val="15"/>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378"/>
        <w:gridCol w:w="4898"/>
        <w:gridCol w:w="772"/>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序号</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名称</w:t>
            </w:r>
          </w:p>
        </w:tc>
        <w:tc>
          <w:tcPr>
            <w:tcW w:w="4898" w:type="dxa"/>
            <w:shd w:val="clear" w:color="auto" w:fill="auto"/>
            <w:vAlign w:val="center"/>
          </w:tcPr>
          <w:p>
            <w:pPr>
              <w:spacing w:line="276" w:lineRule="auto"/>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规格型号/参数</w:t>
            </w:r>
          </w:p>
        </w:tc>
        <w:tc>
          <w:tcPr>
            <w:tcW w:w="772" w:type="dxa"/>
            <w:shd w:val="clear" w:color="auto" w:fill="auto"/>
            <w:vAlign w:val="center"/>
          </w:tcPr>
          <w:p>
            <w:pPr>
              <w:spacing w:line="276" w:lineRule="auto"/>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数量</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1#压滤机排渣螺旋</w:t>
            </w:r>
          </w:p>
        </w:tc>
        <w:tc>
          <w:tcPr>
            <w:tcW w:w="4898" w:type="dxa"/>
            <w:shd w:val="clear" w:color="auto" w:fill="auto"/>
            <w:vAlign w:val="center"/>
          </w:tcPr>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型号：DLS2 x 450x14.84；</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输送量：30m³/h；</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xml:space="preserve">螺旋外径：φ450mm，厚度≥10mm，螺距400mm；有轴螺旋，轴径供应商根据计算结果确定； </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xml:space="preserve">衬板：Q355B,厚度8mm； </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xml:space="preserve">螺旋槽：厚度≥5mm；盖板厚度3mm； </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输送长度：14.84m；</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安装角度：0°；</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材质：槽体、进出口板、盖板304不锈钢，螺旋体为Q355B，衬板Q355B，支腿Q235B；</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电机：380V/50Hz，变频调速，冷却风扇独立电源；</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减速电机：国贸、浙江恒齿、浙江通力或同等品牌；</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电机等级：YE3系列超高效异步电机，防护等级IP55，绝缘等级F；</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轴承：洛轴、瓦房店、哈尔滨；</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顶部设置引风法兰Ø250mm，出料口附近设置Ø400快拆式检修观察孔，304不锈钢；</w:t>
            </w:r>
          </w:p>
          <w:p>
            <w:pPr>
              <w:numPr>
                <w:ilvl w:val="0"/>
                <w:numId w:val="2"/>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吊轴承处应良好防护，防止物料砸落造成的损坏，同时应考虑设加注黄油的管道直通输送机壳体外侧，方便加注润滑脂，保证吊轴承充分润滑有轴螺旋吊轴承。</w:t>
            </w:r>
          </w:p>
          <w:p>
            <w:pPr>
              <w:numPr>
                <w:ilvl w:val="0"/>
                <w:numId w:val="2"/>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配套</w:t>
            </w:r>
            <w:r>
              <w:rPr>
                <w:rFonts w:hint="eastAsia" w:asciiTheme="minorEastAsia" w:hAnsiTheme="minorEastAsia" w:eastAsiaTheme="minorEastAsia" w:cstheme="minorEastAsia"/>
                <w:sz w:val="20"/>
                <w:szCs w:val="20"/>
              </w:rPr>
              <w:t>出口的软接，前后法兰厂内加工无缝软件，高密度聚脂纤维基布,双面聚氯乙烯涂层，总厚度≥3m，灰色。</w:t>
            </w:r>
          </w:p>
        </w:tc>
        <w:tc>
          <w:tcPr>
            <w:tcW w:w="772" w:type="dxa"/>
            <w:shd w:val="clear" w:color="auto" w:fill="auto"/>
            <w:vAlign w:val="center"/>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4台</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正反螺旋对滚输送，</w:t>
            </w:r>
            <w:r>
              <w:rPr>
                <w:rFonts w:hint="eastAsia" w:asciiTheme="minorEastAsia" w:hAnsiTheme="minorEastAsia" w:eastAsiaTheme="minorEastAsia" w:cstheme="minorEastAsia"/>
                <w:sz w:val="20"/>
                <w:szCs w:val="20"/>
                <w:highlight w:val="yellow"/>
              </w:rPr>
              <w:t>提供参数供参考，请供应商根据工况进行细化设计并评估合理性，澄清修订内容</w:t>
            </w:r>
            <w:r>
              <w:rPr>
                <w:rFonts w:hint="eastAsia" w:asciiTheme="minorEastAsia" w:hAnsiTheme="minorEastAsia" w:eastAsiaTheme="minorEastAsia" w:cs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2#压滤机排渣螺旋</w:t>
            </w:r>
          </w:p>
        </w:tc>
        <w:tc>
          <w:tcPr>
            <w:tcW w:w="4898" w:type="dxa"/>
            <w:shd w:val="clear" w:color="auto" w:fill="auto"/>
            <w:vAlign w:val="center"/>
          </w:tcPr>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型号：LS2x450 x 5.96；</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输送量：30m</w:t>
            </w:r>
            <w:r>
              <w:rPr>
                <w:rFonts w:hint="eastAsia" w:asciiTheme="minorEastAsia" w:hAnsiTheme="minorEastAsia" w:eastAsiaTheme="minorEastAsia" w:cstheme="minorEastAsia"/>
                <w:sz w:val="20"/>
                <w:szCs w:val="20"/>
                <w:vertAlign w:val="superscript"/>
              </w:rPr>
              <w:t>3</w:t>
            </w:r>
            <w:r>
              <w:rPr>
                <w:rFonts w:hint="eastAsia" w:asciiTheme="minorEastAsia" w:hAnsiTheme="minorEastAsia" w:eastAsiaTheme="minorEastAsia" w:cstheme="minorEastAsia"/>
                <w:sz w:val="20"/>
                <w:szCs w:val="20"/>
              </w:rPr>
              <w:t>/h；</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螺旋外径：φ450mm，厚度≥35mm，螺距400mm；</w:t>
            </w:r>
            <w:r>
              <w:rPr>
                <w:rFonts w:hint="eastAsia" w:asciiTheme="minorEastAsia" w:hAnsiTheme="minorEastAsia" w:eastAsiaTheme="minorEastAsia" w:cstheme="minorEastAsia"/>
                <w:color w:val="FF0000"/>
                <w:sz w:val="20"/>
                <w:szCs w:val="20"/>
              </w:rPr>
              <w:t>无轴螺旋</w:t>
            </w:r>
            <w:r>
              <w:rPr>
                <w:rFonts w:hint="eastAsia" w:asciiTheme="minorEastAsia" w:hAnsiTheme="minorEastAsia" w:eastAsiaTheme="minorEastAsia" w:cstheme="minorEastAsia"/>
                <w:sz w:val="20"/>
                <w:szCs w:val="20"/>
              </w:rPr>
              <w:t>，供应商根据计算结果确定；</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衬板：Q355B,厚度10mm；</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螺旋槽内宽：890mm，厚度≥5mm；盖板厚度3mm；</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输送长度：5.96m；</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安装角度：10°；</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材质：槽体、进出口板、盖板304不锈钢，螺旋体为Q355B，衬板Q355B，支腿Q235B；</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电机：380V/50Hz，变频调速，冷却风扇独立电源；</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减速电机：国贸、浙江恒齿、浙江通力或同等品牌；</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电机等级：</w:t>
            </w:r>
            <w:r>
              <w:rPr>
                <w:rFonts w:hint="eastAsia" w:asciiTheme="minorEastAsia" w:hAnsiTheme="minorEastAsia" w:eastAsiaTheme="minorEastAsia" w:cstheme="minorEastAsia"/>
                <w:kern w:val="0"/>
                <w:sz w:val="20"/>
                <w:szCs w:val="20"/>
              </w:rPr>
              <w:t>YE3系列超高效异步电机，防护等级IP55，绝缘等级F；</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轴承：</w:t>
            </w:r>
            <w:r>
              <w:rPr>
                <w:rFonts w:hint="eastAsia" w:asciiTheme="minorEastAsia" w:hAnsiTheme="minorEastAsia" w:eastAsiaTheme="minorEastAsia" w:cstheme="minorEastAsia"/>
                <w:kern w:val="0"/>
                <w:sz w:val="20"/>
                <w:szCs w:val="20"/>
              </w:rPr>
              <w:t>洛轴、瓦房店、哈尔滨；</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顶部设置引风法兰Ø250mm，进料及出料口附近设置Ø400快拆式检修观察孔，</w:t>
            </w:r>
            <w:r>
              <w:rPr>
                <w:rFonts w:hint="eastAsia" w:asciiTheme="minorEastAsia" w:hAnsiTheme="minorEastAsia" w:eastAsiaTheme="minorEastAsia" w:cstheme="minorEastAsia"/>
                <w:sz w:val="20"/>
                <w:szCs w:val="20"/>
              </w:rPr>
              <w:t>304不锈钢</w:t>
            </w:r>
            <w:r>
              <w:rPr>
                <w:rFonts w:hint="eastAsia" w:asciiTheme="minorEastAsia" w:hAnsiTheme="minorEastAsia" w:eastAsiaTheme="minorEastAsia" w:cstheme="minorEastAsia"/>
                <w:kern w:val="0"/>
                <w:sz w:val="20"/>
                <w:szCs w:val="20"/>
              </w:rPr>
              <w:t>。</w:t>
            </w:r>
          </w:p>
          <w:p>
            <w:pPr>
              <w:numPr>
                <w:ilvl w:val="0"/>
                <w:numId w:val="3"/>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配套出口的软接，前后法兰厂内加工无缝软件，高密度聚脂纤维基布,双面聚氯乙烯涂层，总厚度≥3m，灰色。</w:t>
            </w:r>
          </w:p>
        </w:tc>
        <w:tc>
          <w:tcPr>
            <w:tcW w:w="772" w:type="dxa"/>
            <w:shd w:val="clear" w:color="auto" w:fill="auto"/>
            <w:vAlign w:val="center"/>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1台</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正反螺旋对滚输送，因安装条件限制，缺少末端轴承拆卸空间，建议采用无轴螺旋便于维护。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导料斗</w:t>
            </w:r>
          </w:p>
        </w:tc>
        <w:tc>
          <w:tcPr>
            <w:tcW w:w="4898" w:type="dxa"/>
            <w:shd w:val="clear" w:color="auto" w:fill="auto"/>
            <w:vAlign w:val="center"/>
          </w:tcPr>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上口尺寸：</w:t>
            </w:r>
            <w:r>
              <w:rPr>
                <w:rFonts w:hint="eastAsia" w:asciiTheme="minorEastAsia" w:hAnsiTheme="minorEastAsia" w:eastAsiaTheme="minorEastAsia" w:cstheme="minorEastAsia"/>
                <w:sz w:val="20"/>
                <w:szCs w:val="20"/>
                <w:highlight w:val="yellow"/>
              </w:rPr>
              <w:t>12.260*2.85</w:t>
            </w:r>
            <w:r>
              <w:rPr>
                <w:rFonts w:hint="eastAsia" w:asciiTheme="minorEastAsia" w:hAnsiTheme="minorEastAsia" w:eastAsiaTheme="minorEastAsia" w:cstheme="minorEastAsia"/>
                <w:sz w:val="20"/>
                <w:szCs w:val="20"/>
              </w:rPr>
              <w:t>m；</w:t>
            </w:r>
          </w:p>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高度：2m；</w:t>
            </w:r>
          </w:p>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导料斗板厚6mm；</w:t>
            </w:r>
          </w:p>
          <w:p>
            <w:pPr>
              <w:numPr>
                <w:ilvl w:val="0"/>
                <w:numId w:val="4"/>
              </w:numPr>
              <w:spacing w:line="276" w:lineRule="auto"/>
              <w:rPr>
                <w:rFonts w:hint="eastAsia" w:ascii="宋体" w:hAnsi="宋体"/>
                <w:szCs w:val="21"/>
              </w:rPr>
            </w:pPr>
            <w:r>
              <w:rPr>
                <w:rFonts w:hint="eastAsia" w:ascii="宋体" w:hAnsi="宋体"/>
                <w:szCs w:val="21"/>
              </w:rPr>
              <w:t>材质：Q235B</w:t>
            </w:r>
            <w:r>
              <w:rPr>
                <w:rFonts w:ascii="宋体" w:hAnsi="宋体"/>
                <w:szCs w:val="21"/>
              </w:rPr>
              <w:t>+304复合板或碳钢内衬不锈钢,不锈钢</w:t>
            </w:r>
            <w:r>
              <w:rPr>
                <w:rFonts w:ascii="宋体" w:hAnsi="宋体"/>
                <w:szCs w:val="21"/>
                <w:highlight w:val="yellow"/>
              </w:rPr>
              <w:t>内衬厚度</w:t>
            </w:r>
            <w:r>
              <w:rPr>
                <w:rFonts w:hint="eastAsia" w:ascii="宋体" w:hAnsi="宋体"/>
                <w:szCs w:val="21"/>
                <w:highlight w:val="yellow"/>
              </w:rPr>
              <w:t>1.5</w:t>
            </w:r>
            <w:r>
              <w:rPr>
                <w:rFonts w:ascii="宋体" w:hAnsi="宋体"/>
                <w:szCs w:val="21"/>
                <w:highlight w:val="yellow"/>
              </w:rPr>
              <w:t>mm</w:t>
            </w:r>
            <w:r>
              <w:rPr>
                <w:rFonts w:hint="eastAsia" w:ascii="宋体" w:hAnsi="宋体"/>
                <w:szCs w:val="21"/>
                <w:highlight w:val="yellow"/>
              </w:rPr>
              <w:t>；</w:t>
            </w:r>
            <w:r>
              <w:rPr>
                <w:rFonts w:ascii="宋体" w:hAnsi="宋体"/>
                <w:szCs w:val="21"/>
                <w:highlight w:val="yellow"/>
              </w:rPr>
              <w:t>（供参考，请供应商提供合理建议）</w:t>
            </w:r>
          </w:p>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带破碎装置，破刀间距500mm，支撑应合理分布，不得导致滤饼架桥；</w:t>
            </w:r>
          </w:p>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两端配置检修人孔500*500mm；</w:t>
            </w:r>
          </w:p>
          <w:p>
            <w:pPr>
              <w:pStyle w:val="4"/>
              <w:numPr>
                <w:ilvl w:val="0"/>
                <w:numId w:val="4"/>
              </w:numPr>
              <w:rPr>
                <w:rFonts w:hint="eastAsia" w:asciiTheme="minorEastAsia" w:hAnsiTheme="minorEastAsia" w:eastAsiaTheme="minorEastAsia" w:cstheme="minorEastAsia"/>
                <w:sz w:val="20"/>
                <w:szCs w:val="20"/>
              </w:rPr>
            </w:pPr>
            <w:bookmarkStart w:id="0" w:name="OLE_LINK2"/>
            <w:r>
              <w:rPr>
                <w:rFonts w:hint="eastAsia" w:asciiTheme="minorEastAsia" w:hAnsiTheme="minorEastAsia" w:eastAsiaTheme="minorEastAsia" w:cstheme="minorEastAsia"/>
                <w:sz w:val="20"/>
                <w:szCs w:val="20"/>
              </w:rPr>
              <w:t>导料斗一侧设置若干除臭口，304不锈钢材质</w:t>
            </w:r>
            <w:r>
              <w:rPr>
                <w:rFonts w:hint="eastAsia" w:asciiTheme="minorEastAsia" w:hAnsiTheme="minorEastAsia" w:eastAsiaTheme="minorEastAsia" w:cstheme="minorEastAsia"/>
                <w:kern w:val="0"/>
                <w:sz w:val="20"/>
                <w:szCs w:val="20"/>
              </w:rPr>
              <w:t>。</w:t>
            </w:r>
            <w:r>
              <w:rPr>
                <w:rFonts w:hint="eastAsia" w:asciiTheme="minorEastAsia" w:hAnsiTheme="minorEastAsia" w:eastAsiaTheme="minorEastAsia" w:cstheme="minorEastAsia"/>
                <w:sz w:val="20"/>
                <w:szCs w:val="20"/>
              </w:rPr>
              <w:t>使用过程中不得堵塞。（详见提资图，由供应商设计细化）</w:t>
            </w:r>
          </w:p>
          <w:bookmarkEnd w:id="0"/>
          <w:p>
            <w:pPr>
              <w:pStyle w:val="4"/>
              <w:numPr>
                <w:ilvl w:val="255"/>
                <w:numId w:val="0"/>
              </w:numPr>
              <w:rPr>
                <w:rFonts w:hint="eastAsia" w:asciiTheme="minorEastAsia" w:hAnsiTheme="minorEastAsia" w:eastAsiaTheme="minorEastAsia" w:cstheme="minorEastAsia"/>
                <w:sz w:val="20"/>
                <w:szCs w:val="20"/>
              </w:rPr>
            </w:pPr>
          </w:p>
        </w:tc>
        <w:tc>
          <w:tcPr>
            <w:tcW w:w="772" w:type="dxa"/>
            <w:shd w:val="clear" w:color="auto" w:fill="auto"/>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4台</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与压滤机匹配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滑架推平系统</w:t>
            </w:r>
          </w:p>
        </w:tc>
        <w:tc>
          <w:tcPr>
            <w:tcW w:w="4898" w:type="dxa"/>
            <w:shd w:val="clear" w:color="auto" w:fill="auto"/>
            <w:vAlign w:val="center"/>
          </w:tcPr>
          <w:p>
            <w:pPr>
              <w:numPr>
                <w:ilvl w:val="0"/>
                <w:numId w:val="5"/>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型号：-；</w:t>
            </w:r>
          </w:p>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2．行程：</w:t>
            </w:r>
            <w:r>
              <w:rPr>
                <w:rFonts w:hint="eastAsia" w:asciiTheme="minorEastAsia" w:hAnsiTheme="minorEastAsia" w:eastAsiaTheme="minorEastAsia" w:cstheme="minorEastAsia"/>
                <w:sz w:val="20"/>
                <w:szCs w:val="20"/>
                <w:u w:val="single"/>
              </w:rPr>
              <w:t>供应商设计细化</w:t>
            </w:r>
            <w:r>
              <w:rPr>
                <w:rFonts w:hint="eastAsia" w:asciiTheme="minorEastAsia" w:hAnsiTheme="minorEastAsia" w:eastAsiaTheme="minorEastAsia" w:cstheme="minorEastAsia"/>
                <w:color w:val="000000"/>
                <w:sz w:val="20"/>
                <w:szCs w:val="20"/>
              </w:rPr>
              <w:t>；</w:t>
            </w:r>
          </w:p>
          <w:p>
            <w:pPr>
              <w:spacing w:line="276" w:lineRule="auto"/>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 滑架材质：Q355B；</w:t>
            </w:r>
          </w:p>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4. 与沼渣料仓配套。</w:t>
            </w:r>
          </w:p>
        </w:tc>
        <w:tc>
          <w:tcPr>
            <w:tcW w:w="772" w:type="dxa"/>
            <w:shd w:val="clear" w:color="auto" w:fill="auto"/>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3套</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沼渣料仓</w:t>
            </w:r>
          </w:p>
        </w:tc>
        <w:tc>
          <w:tcPr>
            <w:tcW w:w="4898" w:type="dxa"/>
            <w:shd w:val="clear" w:color="auto" w:fill="auto"/>
            <w:vAlign w:val="center"/>
          </w:tcPr>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型号：- ；</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有效装储容积：≥30m</w:t>
            </w:r>
            <w:r>
              <w:rPr>
                <w:rFonts w:hint="eastAsia" w:asciiTheme="minorEastAsia" w:hAnsiTheme="minorEastAsia" w:eastAsiaTheme="minorEastAsia" w:cstheme="minorEastAsia"/>
                <w:color w:val="000000"/>
                <w:sz w:val="20"/>
                <w:szCs w:val="20"/>
                <w:vertAlign w:val="superscript"/>
              </w:rPr>
              <w:t>3</w:t>
            </w:r>
            <w:r>
              <w:rPr>
                <w:rFonts w:hint="eastAsia" w:asciiTheme="minorEastAsia" w:hAnsiTheme="minorEastAsia" w:eastAsiaTheme="minorEastAsia" w:cstheme="minorEastAsia"/>
                <w:color w:val="000000"/>
                <w:sz w:val="20"/>
                <w:szCs w:val="20"/>
              </w:rPr>
              <w:t>；</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料仓尺寸：3.8×4.05×3.7(高度)m；</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墙板厚度8mm，顶板厚度6mm；</w:t>
            </w:r>
          </w:p>
          <w:p>
            <w:pPr>
              <w:numPr>
                <w:ilvl w:val="0"/>
                <w:numId w:val="4"/>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材质：Q235B+304</w:t>
            </w:r>
            <w:r>
              <w:rPr>
                <w:rFonts w:hint="eastAsia" w:asciiTheme="minorEastAsia" w:hAnsiTheme="minorEastAsia" w:eastAsiaTheme="minorEastAsia" w:cstheme="minorEastAsia"/>
                <w:sz w:val="20"/>
                <w:szCs w:val="20"/>
              </w:rPr>
              <w:t>复合板或碳钢内衬不锈钢，不锈钢内衬厚度</w:t>
            </w:r>
            <w:r>
              <w:rPr>
                <w:rFonts w:hint="eastAsia" w:asciiTheme="minorEastAsia" w:hAnsiTheme="minorEastAsia" w:eastAsiaTheme="minorEastAsia" w:cstheme="minorEastAsia"/>
                <w:color w:val="000000"/>
                <w:sz w:val="20"/>
                <w:szCs w:val="20"/>
              </w:rPr>
              <w:t>1.5</w:t>
            </w:r>
            <w:r>
              <w:rPr>
                <w:rFonts w:hint="eastAsia" w:asciiTheme="minorEastAsia" w:hAnsiTheme="minorEastAsia" w:eastAsiaTheme="minorEastAsia" w:cstheme="minorEastAsia"/>
                <w:sz w:val="20"/>
                <w:szCs w:val="20"/>
              </w:rPr>
              <w:t>mm</w:t>
            </w:r>
            <w:r>
              <w:rPr>
                <w:rFonts w:hint="eastAsia" w:asciiTheme="minorEastAsia" w:hAnsiTheme="minorEastAsia" w:eastAsiaTheme="minorEastAsia" w:cstheme="minorEastAsia"/>
                <w:color w:val="000000"/>
                <w:sz w:val="20"/>
                <w:szCs w:val="20"/>
              </w:rPr>
              <w:t>；</w:t>
            </w:r>
            <w:bookmarkStart w:id="1" w:name="OLE_LINK3"/>
            <w:r>
              <w:rPr>
                <w:rFonts w:hint="eastAsia" w:asciiTheme="minorEastAsia" w:hAnsiTheme="minorEastAsia" w:eastAsiaTheme="minorEastAsia" w:cstheme="minorEastAsia"/>
                <w:sz w:val="20"/>
                <w:szCs w:val="20"/>
                <w:highlight w:val="yellow"/>
              </w:rPr>
              <w:t>（包括腭式阀接触物料部分，供参考，请供应商提供合理建议）</w:t>
            </w:r>
            <w:bookmarkEnd w:id="1"/>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卸料方式：液压腭式阀,配单侧双油缸；</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卸料高度：≥4.2m；</w:t>
            </w:r>
          </w:p>
          <w:p>
            <w:pPr>
              <w:pStyle w:val="4"/>
              <w:numPr>
                <w:ilvl w:val="0"/>
                <w:numId w:val="6"/>
              </w:numP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内置滑架推平系统：可推平料仓内堆积物料，满足料仓有效容积要求，材质Q355B, 油缸行程，滑架结构由供应商细化；</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斗顶配置料位计：</w:t>
            </w:r>
            <w:bookmarkStart w:id="2" w:name="OLE_LINK4"/>
            <w:r>
              <w:rPr>
                <w:rFonts w:hint="eastAsia" w:asciiTheme="minorEastAsia" w:hAnsiTheme="minorEastAsia" w:eastAsiaTheme="minorEastAsia" w:cstheme="minorEastAsia"/>
                <w:sz w:val="20"/>
                <w:szCs w:val="20"/>
              </w:rPr>
              <w:t>1个雷达液位计，选择天康、川仪、</w:t>
            </w:r>
            <w:r>
              <w:rPr>
                <w:rFonts w:hint="default" w:asciiTheme="minorEastAsia" w:hAnsiTheme="minorEastAsia" w:eastAsiaTheme="minorEastAsia" w:cstheme="minorEastAsia"/>
                <w:sz w:val="20"/>
                <w:szCs w:val="20"/>
                <w:woUserID w:val="1"/>
              </w:rPr>
              <w:t>百特</w:t>
            </w:r>
            <w:bookmarkStart w:id="7" w:name="_GoBack"/>
            <w:bookmarkEnd w:id="7"/>
            <w:r>
              <w:rPr>
                <w:rFonts w:hint="eastAsia" w:asciiTheme="minorEastAsia" w:hAnsiTheme="minorEastAsia" w:eastAsiaTheme="minorEastAsia" w:cstheme="minorEastAsia"/>
                <w:sz w:val="20"/>
                <w:szCs w:val="20"/>
              </w:rPr>
              <w:t>或同等品牌；</w:t>
            </w:r>
            <w:bookmarkEnd w:id="2"/>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单侧壁板配液压斜滑架辅助卸料装置1套，滑架材质Q355B，油缸驱动；</w:t>
            </w:r>
            <w:r>
              <w:rPr>
                <w:rFonts w:hint="eastAsia" w:asciiTheme="minorEastAsia" w:hAnsiTheme="minorEastAsia" w:eastAsiaTheme="minorEastAsia" w:cstheme="minorEastAsia"/>
                <w:sz w:val="20"/>
                <w:szCs w:val="20"/>
                <w:u w:val="single"/>
              </w:rPr>
              <w:t>（供应商设计细化）</w:t>
            </w:r>
          </w:p>
          <w:p>
            <w:pPr>
              <w:numPr>
                <w:ilvl w:val="0"/>
                <w:numId w:val="6"/>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沼渣斗仓顶设置操作平台、钢梯及栏杆，平台采用热浸镀锌格栅板，热浸镀锌爬梯、连杆+黄色面漆；</w:t>
            </w:r>
          </w:p>
          <w:p>
            <w:pPr>
              <w:numPr>
                <w:ilvl w:val="0"/>
                <w:numId w:val="6"/>
              </w:numPr>
              <w:spacing w:line="276" w:lineRule="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顶部设置引风法兰Ø250mm及检修人孔；</w:t>
            </w:r>
          </w:p>
          <w:p>
            <w:pPr>
              <w:numPr>
                <w:ilvl w:val="0"/>
                <w:numId w:val="6"/>
              </w:numPr>
              <w:spacing w:line="276" w:lineRule="auto"/>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color w:val="FF0000"/>
                <w:kern w:val="0"/>
                <w:sz w:val="20"/>
                <w:szCs w:val="20"/>
              </w:rPr>
              <w:t>料仓腭式阀出口处需设计接液装置或水密结构，防止沼渣物料发酵产生的水分导致滴漏情况发生，投标方案需要与甲方充分沟通确认。</w:t>
            </w:r>
          </w:p>
        </w:tc>
        <w:tc>
          <w:tcPr>
            <w:tcW w:w="772" w:type="dxa"/>
            <w:shd w:val="clear" w:color="auto" w:fill="auto"/>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3套</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液压系统</w:t>
            </w:r>
          </w:p>
        </w:tc>
        <w:tc>
          <w:tcPr>
            <w:tcW w:w="4898" w:type="dxa"/>
            <w:shd w:val="clear" w:color="auto" w:fill="auto"/>
            <w:vAlign w:val="center"/>
          </w:tcPr>
          <w:p>
            <w:pPr>
              <w:numPr>
                <w:ilvl w:val="0"/>
                <w:numId w:val="7"/>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液压站容积：160L； </w:t>
            </w:r>
          </w:p>
          <w:p>
            <w:pPr>
              <w:numPr>
                <w:ilvl w:val="0"/>
                <w:numId w:val="7"/>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功率：5.5Kw（供参考），</w:t>
            </w:r>
            <w:r>
              <w:rPr>
                <w:rFonts w:hint="eastAsia" w:asciiTheme="minorEastAsia" w:hAnsiTheme="minorEastAsia" w:eastAsiaTheme="minorEastAsia" w:cstheme="minorEastAsia"/>
                <w:kern w:val="0"/>
                <w:sz w:val="20"/>
                <w:szCs w:val="20"/>
              </w:rPr>
              <w:t>防护等级IP55，绝缘等级F，电机能耗等级GB18613-2020 2级；</w:t>
            </w:r>
          </w:p>
          <w:p>
            <w:pPr>
              <w:numPr>
                <w:ilvl w:val="0"/>
                <w:numId w:val="7"/>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工作压力：≤10MPa；</w:t>
            </w:r>
          </w:p>
          <w:p>
            <w:pPr>
              <w:numPr>
                <w:ilvl w:val="0"/>
                <w:numId w:val="7"/>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控制鳄式阀、斜滑架辅助卸料装置及滑架推平系统的运行；</w:t>
            </w:r>
          </w:p>
        </w:tc>
        <w:tc>
          <w:tcPr>
            <w:tcW w:w="772" w:type="dxa"/>
            <w:shd w:val="clear" w:color="auto" w:fill="auto"/>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3套</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9</w:t>
            </w:r>
          </w:p>
        </w:tc>
        <w:tc>
          <w:tcPr>
            <w:tcW w:w="1378"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控制柜</w:t>
            </w:r>
          </w:p>
        </w:tc>
        <w:tc>
          <w:tcPr>
            <w:tcW w:w="4898" w:type="dxa"/>
            <w:shd w:val="clear" w:color="auto" w:fill="auto"/>
            <w:vAlign w:val="center"/>
          </w:tcPr>
          <w:p>
            <w:pPr>
              <w:numPr>
                <w:ilvl w:val="0"/>
                <w:numId w:val="8"/>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安装位置：室内；</w:t>
            </w:r>
          </w:p>
          <w:p>
            <w:pPr>
              <w:numPr>
                <w:ilvl w:val="0"/>
                <w:numId w:val="8"/>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柜壳材质：碳钢喷塑；</w:t>
            </w:r>
          </w:p>
          <w:p>
            <w:pPr>
              <w:numPr>
                <w:ilvl w:val="0"/>
                <w:numId w:val="8"/>
              </w:numPr>
              <w:spacing w:line="276" w:lineRule="auto"/>
              <w:rPr>
                <w:rStyle w:val="18"/>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主要电气元件：施耐德，PLC西门子；</w:t>
            </w:r>
          </w:p>
          <w:p>
            <w:pPr>
              <w:numPr>
                <w:ilvl w:val="0"/>
                <w:numId w:val="8"/>
              </w:num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料仓配置机旁304不锈钢操作箱3套。</w:t>
            </w:r>
          </w:p>
        </w:tc>
        <w:tc>
          <w:tcPr>
            <w:tcW w:w="772" w:type="dxa"/>
            <w:shd w:val="clear" w:color="auto" w:fill="auto"/>
          </w:tcPr>
          <w:p>
            <w:pPr>
              <w:spacing w:line="276"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1套</w:t>
            </w:r>
          </w:p>
        </w:tc>
        <w:tc>
          <w:tcPr>
            <w:tcW w:w="1143" w:type="dxa"/>
            <w:shd w:val="clear" w:color="auto" w:fill="auto"/>
            <w:vAlign w:val="center"/>
          </w:tcPr>
          <w:p>
            <w:pPr>
              <w:spacing w:line="276"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螺旋输送机的控制柜由甲方负责设计及提供</w:t>
            </w:r>
          </w:p>
        </w:tc>
      </w:tr>
    </w:tbl>
    <w:p>
      <w:pPr>
        <w:pStyle w:val="4"/>
        <w:rPr>
          <w:rFonts w:hint="eastAsia" w:asciiTheme="minorEastAsia" w:hAnsiTheme="minorEastAsia" w:eastAsiaTheme="minorEastAsia" w:cstheme="minorEastAsia"/>
          <w:sz w:val="20"/>
          <w:szCs w:val="20"/>
        </w:rPr>
      </w:pPr>
    </w:p>
    <w:p>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以上设备清单，各螺旋包含对应进出口料斗、设备支腿、检修口、标准快拆盖、</w:t>
      </w:r>
      <w:r>
        <w:rPr>
          <w:rFonts w:asciiTheme="minorEastAsia" w:hAnsiTheme="minorEastAsia" w:eastAsiaTheme="minorEastAsia" w:cstheme="minorEastAsia"/>
          <w:sz w:val="24"/>
          <w:szCs w:val="24"/>
        </w:rPr>
        <w:t>引风罩</w:t>
      </w:r>
      <w:r>
        <w:rPr>
          <w:rFonts w:hint="eastAsia" w:asciiTheme="minorEastAsia" w:hAnsiTheme="minorEastAsia" w:eastAsiaTheme="minorEastAsia" w:cstheme="minorEastAsia"/>
          <w:sz w:val="24"/>
          <w:szCs w:val="24"/>
        </w:rPr>
        <w:t>（即除臭盖）等辅件。</w:t>
      </w:r>
    </w:p>
    <w:p>
      <w:pPr>
        <w:pStyle w:val="13"/>
        <w:numPr>
          <w:ilvl w:val="0"/>
          <w:numId w:val="1"/>
        </w:numPr>
        <w:jc w:val="left"/>
        <w:rPr>
          <w:sz w:val="28"/>
          <w:szCs w:val="28"/>
        </w:rPr>
      </w:pPr>
      <w:r>
        <w:rPr>
          <w:rFonts w:hint="eastAsia"/>
          <w:sz w:val="28"/>
          <w:szCs w:val="28"/>
        </w:rPr>
        <w:t>系统</w:t>
      </w:r>
      <w:r>
        <w:rPr>
          <w:sz w:val="28"/>
          <w:szCs w:val="28"/>
        </w:rPr>
        <w:t>设备功能</w:t>
      </w:r>
      <w:r>
        <w:rPr>
          <w:rFonts w:hint="eastAsia"/>
          <w:sz w:val="28"/>
          <w:szCs w:val="28"/>
        </w:rPr>
        <w:t>指标</w:t>
      </w:r>
    </w:p>
    <w:tbl>
      <w:tblPr>
        <w:tblStyle w:val="15"/>
        <w:tblW w:w="86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5"/>
        <w:gridCol w:w="2465"/>
        <w:gridCol w:w="1807"/>
        <w:gridCol w:w="1559"/>
        <w:gridCol w:w="21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2" w:hRule="atLeast"/>
          <w:tblHeader/>
          <w:jc w:val="center"/>
        </w:trPr>
        <w:tc>
          <w:tcPr>
            <w:tcW w:w="675"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序号</w:t>
            </w:r>
          </w:p>
        </w:tc>
        <w:tc>
          <w:tcPr>
            <w:tcW w:w="2465"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名  称</w:t>
            </w:r>
          </w:p>
        </w:tc>
        <w:tc>
          <w:tcPr>
            <w:tcW w:w="1807"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单位</w:t>
            </w:r>
          </w:p>
        </w:tc>
        <w:tc>
          <w:tcPr>
            <w:tcW w:w="1559"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数值</w:t>
            </w:r>
          </w:p>
        </w:tc>
        <w:tc>
          <w:tcPr>
            <w:tcW w:w="2126"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进</w:t>
            </w:r>
            <w:r>
              <w:rPr>
                <w:rFonts w:ascii="宋体" w:hAnsi="宋体" w:cs="宋体"/>
                <w:color w:val="000000"/>
                <w:szCs w:val="21"/>
              </w:rPr>
              <w:t>料</w:t>
            </w:r>
            <w:r>
              <w:rPr>
                <w:rFonts w:hint="eastAsia" w:ascii="宋体" w:hAnsi="宋体" w:cs="宋体"/>
                <w:color w:val="000000"/>
                <w:szCs w:val="21"/>
              </w:rPr>
              <w:t>泥</w:t>
            </w:r>
            <w:r>
              <w:rPr>
                <w:rFonts w:ascii="宋体" w:hAnsi="宋体" w:cs="宋体"/>
                <w:color w:val="000000"/>
                <w:szCs w:val="21"/>
              </w:rPr>
              <w:t>饼含</w:t>
            </w:r>
            <w:r>
              <w:rPr>
                <w:rFonts w:hint="eastAsia" w:ascii="宋体" w:hAnsi="宋体" w:cs="宋体"/>
                <w:color w:val="000000"/>
                <w:szCs w:val="21"/>
              </w:rPr>
              <w:t>水</w:t>
            </w:r>
            <w:r>
              <w:rPr>
                <w:rFonts w:ascii="宋体" w:hAnsi="宋体" w:cs="宋体"/>
                <w:color w:val="000000"/>
                <w:szCs w:val="21"/>
              </w:rPr>
              <w:t>率</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60-7</w:t>
            </w:r>
            <w:r>
              <w:rPr>
                <w:rFonts w:ascii="宋体" w:hAnsi="宋体" w:cs="宋体"/>
                <w:color w:val="000000"/>
                <w:szCs w:val="21"/>
              </w:rPr>
              <w:t>2</w:t>
            </w:r>
            <w:r>
              <w:rPr>
                <w:rFonts w:hint="eastAsia" w:ascii="宋体" w:hAnsi="宋体" w:cs="宋体"/>
                <w:color w:val="000000"/>
                <w:szCs w:val="21"/>
              </w:rPr>
              <w:t>%</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螺旋输送</w:t>
            </w:r>
            <w:r>
              <w:rPr>
                <w:rFonts w:ascii="宋体" w:hAnsi="宋体" w:cs="宋体"/>
                <w:color w:val="000000"/>
                <w:szCs w:val="21"/>
              </w:rPr>
              <w:t>能力</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30</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变频</w:t>
            </w:r>
            <w:r>
              <w:rPr>
                <w:rFonts w:ascii="宋体" w:hAnsi="宋体" w:cs="宋体"/>
                <w:color w:val="000000"/>
                <w:szCs w:val="21"/>
              </w:rPr>
              <w:t>调速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料仓储存</w:t>
            </w:r>
            <w:r>
              <w:rPr>
                <w:rFonts w:ascii="宋体" w:hAnsi="宋体" w:cs="宋体"/>
                <w:color w:val="000000"/>
                <w:szCs w:val="21"/>
              </w:rPr>
              <w:t>能力</w:t>
            </w:r>
            <w:r>
              <w:rPr>
                <w:rFonts w:hint="eastAsia" w:ascii="宋体" w:hAnsi="宋体" w:cs="宋体"/>
                <w:color w:val="000000"/>
                <w:szCs w:val="21"/>
              </w:rPr>
              <w:t>（单台）</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szCs w:val="21"/>
              </w:rPr>
              <w:t>m</w:t>
            </w:r>
            <w:r>
              <w:rPr>
                <w:rFonts w:hint="eastAsia" w:ascii="宋体" w:hAnsi="宋体"/>
                <w:szCs w:val="21"/>
                <w:vertAlign w:val="superscript"/>
              </w:rPr>
              <w:t>3</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≥38</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有效装料</w:t>
            </w:r>
            <w:r>
              <w:rPr>
                <w:rFonts w:ascii="宋体" w:hAnsi="宋体" w:cs="宋体"/>
                <w:color w:val="000000"/>
                <w:szCs w:val="21"/>
              </w:rPr>
              <w:t>能力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料仓</w:t>
            </w:r>
            <w:r>
              <w:rPr>
                <w:rFonts w:ascii="宋体" w:hAnsi="宋体" w:cs="宋体"/>
                <w:color w:val="000000"/>
                <w:szCs w:val="21"/>
              </w:rPr>
              <w:t>排</w:t>
            </w:r>
            <w:r>
              <w:rPr>
                <w:rFonts w:hint="eastAsia" w:ascii="宋体" w:hAnsi="宋体" w:cs="宋体"/>
                <w:color w:val="000000"/>
                <w:szCs w:val="21"/>
              </w:rPr>
              <w:t>料</w:t>
            </w:r>
            <w:r>
              <w:rPr>
                <w:rFonts w:ascii="宋体" w:hAnsi="宋体" w:cs="宋体"/>
                <w:color w:val="000000"/>
                <w:szCs w:val="21"/>
              </w:rPr>
              <w:t>能力</w:t>
            </w:r>
          </w:p>
        </w:tc>
        <w:tc>
          <w:tcPr>
            <w:tcW w:w="1807" w:type="dxa"/>
            <w:vAlign w:val="center"/>
          </w:tcPr>
          <w:p>
            <w:pPr>
              <w:spacing w:line="360" w:lineRule="auto"/>
              <w:jc w:val="center"/>
              <w:rPr>
                <w:rFonts w:hint="eastAsia" w:ascii="宋体" w:hAnsi="宋体"/>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1559"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20</w:t>
            </w:r>
            <w:r>
              <w:rPr>
                <w:rFonts w:hint="eastAsia" w:ascii="宋体" w:hAnsi="宋体" w:cs="宋体"/>
                <w:color w:val="000000"/>
                <w:szCs w:val="21"/>
              </w:rPr>
              <w:t>0</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单</w:t>
            </w:r>
            <w:r>
              <w:rPr>
                <w:rFonts w:ascii="宋体" w:hAnsi="宋体" w:cs="宋体"/>
                <w:color w:val="000000"/>
                <w:szCs w:val="21"/>
              </w:rPr>
              <w:t>个排</w:t>
            </w:r>
            <w:r>
              <w:rPr>
                <w:rFonts w:hint="eastAsia" w:ascii="宋体" w:hAnsi="宋体" w:cs="宋体"/>
                <w:color w:val="000000"/>
                <w:szCs w:val="21"/>
              </w:rPr>
              <w:t>料</w:t>
            </w:r>
            <w:r>
              <w:rPr>
                <w:rFonts w:ascii="宋体" w:hAnsi="宋体" w:cs="宋体"/>
                <w:color w:val="000000"/>
                <w:szCs w:val="21"/>
              </w:rPr>
              <w:t>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卸料</w:t>
            </w:r>
            <w:r>
              <w:rPr>
                <w:rFonts w:ascii="宋体" w:hAnsi="宋体" w:cs="宋体"/>
                <w:color w:val="000000"/>
                <w:szCs w:val="21"/>
              </w:rPr>
              <w:t>高度</w:t>
            </w:r>
          </w:p>
        </w:tc>
        <w:tc>
          <w:tcPr>
            <w:tcW w:w="1807"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m</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.2</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工</w:t>
            </w:r>
            <w:r>
              <w:rPr>
                <w:rFonts w:ascii="宋体" w:hAnsi="宋体" w:cs="宋体"/>
                <w:color w:val="000000"/>
                <w:szCs w:val="21"/>
              </w:rPr>
              <w:t>作制度</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小时</w:t>
            </w:r>
            <w:r>
              <w:rPr>
                <w:rFonts w:ascii="宋体" w:hAnsi="宋体" w:cs="宋体"/>
                <w:color w:val="000000"/>
                <w:szCs w:val="21"/>
              </w:rPr>
              <w:t>/</w:t>
            </w:r>
            <w:r>
              <w:rPr>
                <w:rFonts w:hint="eastAsia" w:ascii="宋体" w:hAnsi="宋体" w:cs="宋体"/>
                <w:color w:val="000000"/>
                <w:szCs w:val="21"/>
              </w:rPr>
              <w:t>天</w:t>
            </w:r>
          </w:p>
        </w:tc>
        <w:tc>
          <w:tcPr>
            <w:tcW w:w="1559"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4</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7957" w:type="dxa"/>
            <w:gridSpan w:val="4"/>
            <w:vAlign w:val="center"/>
          </w:tcPr>
          <w:p>
            <w:pPr>
              <w:spacing w:line="360" w:lineRule="auto"/>
              <w:jc w:val="left"/>
              <w:rPr>
                <w:rFonts w:hint="eastAsia" w:ascii="宋体" w:hAnsi="宋体" w:cs="宋体"/>
                <w:color w:val="000000"/>
                <w:szCs w:val="21"/>
              </w:rPr>
            </w:pPr>
            <w:r>
              <w:rPr>
                <w:rFonts w:hint="eastAsia" w:ascii="宋体" w:hAnsi="宋体" w:cs="宋体"/>
                <w:color w:val="000000"/>
                <w:szCs w:val="21"/>
                <w:highlight w:val="yellow"/>
              </w:rPr>
              <w:t>螺旋</w:t>
            </w:r>
            <w:r>
              <w:rPr>
                <w:rFonts w:ascii="宋体" w:hAnsi="宋体" w:cs="宋体"/>
                <w:color w:val="000000"/>
                <w:szCs w:val="21"/>
                <w:highlight w:val="yellow"/>
              </w:rPr>
              <w:t>输送机输送顺畅,无卡阻,无异响,可将</w:t>
            </w:r>
            <w:r>
              <w:rPr>
                <w:rFonts w:hint="eastAsia" w:ascii="宋体" w:hAnsi="宋体" w:cs="宋体"/>
                <w:color w:val="000000"/>
                <w:szCs w:val="21"/>
                <w:highlight w:val="yellow"/>
              </w:rPr>
              <w:t>物料</w:t>
            </w:r>
            <w:r>
              <w:rPr>
                <w:rFonts w:ascii="宋体" w:hAnsi="宋体" w:cs="宋体"/>
                <w:color w:val="000000"/>
                <w:szCs w:val="21"/>
                <w:highlight w:val="yellow"/>
              </w:rPr>
              <w:t>输送至各</w:t>
            </w:r>
            <w:r>
              <w:rPr>
                <w:rFonts w:hint="eastAsia" w:ascii="宋体" w:hAnsi="宋体" w:cs="宋体"/>
                <w:color w:val="000000"/>
                <w:szCs w:val="21"/>
                <w:highlight w:val="yellow"/>
              </w:rPr>
              <w:t>输送</w:t>
            </w:r>
            <w:r>
              <w:rPr>
                <w:rFonts w:ascii="宋体" w:hAnsi="宋体" w:cs="宋体"/>
                <w:color w:val="000000"/>
                <w:szCs w:val="21"/>
                <w:highlight w:val="yellow"/>
              </w:rPr>
              <w:t>出口</w:t>
            </w:r>
            <w:r>
              <w:rPr>
                <w:rFonts w:hint="eastAsia" w:ascii="宋体" w:hAnsi="宋体" w:cs="宋体"/>
                <w:color w:val="000000"/>
                <w:szCs w:val="21"/>
                <w:highlight w:val="yellow"/>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7957" w:type="dxa"/>
            <w:gridSpan w:val="4"/>
            <w:vAlign w:val="center"/>
          </w:tcPr>
          <w:p>
            <w:pPr>
              <w:spacing w:line="360" w:lineRule="auto"/>
              <w:jc w:val="left"/>
              <w:rPr>
                <w:rFonts w:hint="eastAsia" w:ascii="宋体" w:hAnsi="宋体" w:cs="宋体"/>
                <w:color w:val="000000"/>
                <w:szCs w:val="21"/>
              </w:rPr>
            </w:pPr>
            <w:r>
              <w:rPr>
                <w:rFonts w:hint="eastAsia" w:ascii="宋体" w:hAnsi="宋体" w:cs="宋体"/>
                <w:color w:val="000000"/>
                <w:szCs w:val="21"/>
              </w:rPr>
              <w:t>沼渣</w:t>
            </w:r>
            <w:r>
              <w:rPr>
                <w:rFonts w:ascii="宋体" w:hAnsi="宋体" w:cs="宋体"/>
                <w:color w:val="000000"/>
                <w:szCs w:val="21"/>
              </w:rPr>
              <w:t>斗</w:t>
            </w:r>
            <w:r>
              <w:rPr>
                <w:rFonts w:hint="eastAsia" w:ascii="宋体" w:hAnsi="宋体" w:cs="宋体"/>
                <w:color w:val="000000"/>
                <w:szCs w:val="21"/>
              </w:rPr>
              <w:t>装储物料均匀</w:t>
            </w:r>
            <w:r>
              <w:rPr>
                <w:rFonts w:ascii="宋体" w:hAnsi="宋体" w:cs="宋体"/>
                <w:color w:val="000000"/>
                <w:szCs w:val="21"/>
              </w:rPr>
              <w:t>，无</w:t>
            </w:r>
            <w:r>
              <w:rPr>
                <w:rFonts w:hint="eastAsia" w:ascii="宋体" w:hAnsi="宋体" w:cs="宋体"/>
                <w:color w:val="000000"/>
                <w:szCs w:val="21"/>
              </w:rPr>
              <w:t>死</w:t>
            </w:r>
            <w:r>
              <w:rPr>
                <w:rFonts w:ascii="宋体" w:hAnsi="宋体" w:cs="宋体"/>
                <w:color w:val="000000"/>
                <w:szCs w:val="21"/>
              </w:rPr>
              <w:t>角，无架桥</w:t>
            </w:r>
            <w:r>
              <w:rPr>
                <w:rFonts w:hint="eastAsia" w:ascii="宋体" w:hAnsi="宋体" w:cs="宋体"/>
                <w:color w:val="000000"/>
                <w:szCs w:val="21"/>
              </w:rPr>
              <w:t>，</w:t>
            </w:r>
            <w:r>
              <w:rPr>
                <w:rFonts w:ascii="宋体" w:hAnsi="宋体" w:cs="宋体"/>
                <w:color w:val="000000"/>
                <w:szCs w:val="21"/>
              </w:rPr>
              <w:t>储存及排</w:t>
            </w:r>
            <w:r>
              <w:rPr>
                <w:rFonts w:hint="eastAsia" w:ascii="宋体" w:hAnsi="宋体" w:cs="宋体"/>
                <w:color w:val="000000"/>
                <w:szCs w:val="21"/>
              </w:rPr>
              <w:t>料、</w:t>
            </w:r>
            <w:r>
              <w:rPr>
                <w:rFonts w:ascii="宋体" w:hAnsi="宋体" w:cs="宋体"/>
                <w:color w:val="000000"/>
                <w:szCs w:val="21"/>
              </w:rPr>
              <w:t>闭合顺畅</w:t>
            </w:r>
            <w:r>
              <w:rPr>
                <w:rFonts w:ascii="宋体" w:hAnsi="宋体" w:cs="宋体"/>
                <w:b/>
                <w:color w:val="FF0000"/>
                <w:szCs w:val="21"/>
              </w:rPr>
              <w:t>；</w:t>
            </w:r>
          </w:p>
        </w:tc>
      </w:tr>
    </w:tbl>
    <w:p>
      <w:pPr>
        <w:pStyle w:val="13"/>
        <w:numPr>
          <w:ilvl w:val="0"/>
          <w:numId w:val="1"/>
        </w:numPr>
        <w:jc w:val="left"/>
        <w:rPr>
          <w:sz w:val="28"/>
          <w:szCs w:val="28"/>
        </w:rPr>
      </w:pPr>
      <w:r>
        <w:rPr>
          <w:rFonts w:hint="eastAsia"/>
          <w:sz w:val="28"/>
          <w:szCs w:val="28"/>
        </w:rPr>
        <w:t>设计与制造</w:t>
      </w:r>
    </w:p>
    <w:p>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1.乙方所供设备适用于各对应车间输送系统，甲方提资图为基本结构参数，由乙方进行详细设计及制造，提资图中的设计</w:t>
      </w:r>
      <w:r>
        <w:rPr>
          <w:rFonts w:asciiTheme="minorEastAsia" w:hAnsiTheme="minorEastAsia" w:eastAsiaTheme="minorEastAsia" w:cstheme="minorEastAsia"/>
          <w:sz w:val="24"/>
          <w:szCs w:val="24"/>
        </w:rPr>
        <w:t>提资基本参数为验收参数</w:t>
      </w:r>
      <w:r>
        <w:rPr>
          <w:rFonts w:hint="eastAsia" w:asciiTheme="minorEastAsia" w:hAnsiTheme="minorEastAsia" w:eastAsiaTheme="minorEastAsia" w:cstheme="minorEastAsia"/>
          <w:sz w:val="24"/>
          <w:szCs w:val="24"/>
        </w:rPr>
        <w:t>，乙方不得擅自变更图中的壁厚、材质、基本尺寸，除非征得甲方同意。乙方对该所有设备的质量</w:t>
      </w:r>
      <w:r>
        <w:rPr>
          <w:rFonts w:asciiTheme="minorEastAsia" w:hAnsiTheme="minorEastAsia" w:eastAsiaTheme="minorEastAsia" w:cstheme="minorEastAsia"/>
          <w:sz w:val="24"/>
          <w:szCs w:val="24"/>
        </w:rPr>
        <w:t>和性能</w:t>
      </w:r>
      <w:r>
        <w:rPr>
          <w:rFonts w:hint="eastAsia" w:asciiTheme="minorEastAsia" w:hAnsiTheme="minorEastAsia" w:eastAsiaTheme="minorEastAsia" w:cstheme="minorEastAsia"/>
          <w:sz w:val="24"/>
          <w:szCs w:val="24"/>
        </w:rPr>
        <w:t>负责及对质保期的售后保修服务负责；</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2.乙方对所供设备及辅件进行设计、制造，并在合同双方约定的期限内将生产用技术图纸等资料交甲方审</w:t>
      </w:r>
      <w:r>
        <w:rPr>
          <w:rFonts w:hint="eastAsia" w:ascii="宋体" w:hAnsi="宋体"/>
          <w:sz w:val="24"/>
          <w:szCs w:val="24"/>
        </w:rPr>
        <w:t>查</w:t>
      </w:r>
      <w:r>
        <w:rPr>
          <w:rFonts w:hint="eastAsia" w:asciiTheme="minorEastAsia" w:hAnsiTheme="minorEastAsia" w:eastAsiaTheme="minorEastAsia" w:cstheme="minorEastAsia"/>
          <w:sz w:val="24"/>
          <w:szCs w:val="24"/>
        </w:rPr>
        <w:t>，乙方确保该批设备及辅件能稳定可靠运行；</w:t>
      </w:r>
      <w:r>
        <w:rPr>
          <w:rFonts w:hint="eastAsia" w:ascii="宋体" w:hAnsi="宋体"/>
          <w:sz w:val="24"/>
          <w:szCs w:val="24"/>
        </w:rPr>
        <w:t>甲方对设计资料的审查并不能减轻或免除乙方在本合同项下的所有责任。</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乙方负责设备出厂前的组装、料仓拼装、螺旋运转等测试工作，并向甲方提供测试报告及测试过程的图片、视频等资料；出厂前做到整体拼装无误，外形尺寸正确，配合尺寸正确，并按设备需求试机；</w:t>
      </w:r>
    </w:p>
    <w:p>
      <w:pPr>
        <w:spacing w:line="360" w:lineRule="auto"/>
        <w:ind w:firstLine="480" w:firstLineChars="200"/>
        <w:rPr>
          <w:rFonts w:hint="eastAsia" w:ascii="宋体" w:hAnsi="宋体"/>
          <w:sz w:val="24"/>
        </w:rPr>
      </w:pPr>
      <w:r>
        <w:rPr>
          <w:rFonts w:hint="eastAsia" w:asciiTheme="minorEastAsia" w:hAnsiTheme="minorEastAsia" w:eastAsiaTheme="minorEastAsia" w:cstheme="minorEastAsia"/>
          <w:sz w:val="24"/>
          <w:szCs w:val="24"/>
        </w:rPr>
        <w:t>4</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乙方负责现场设备安装、调试的技术指导，</w:t>
      </w:r>
      <w:r>
        <w:rPr>
          <w:rFonts w:hint="eastAsia" w:ascii="宋体" w:hAnsi="宋体" w:eastAsiaTheme="minorEastAsia"/>
          <w:sz w:val="24"/>
        </w:rPr>
        <w:t>派遣</w:t>
      </w:r>
      <w:r>
        <w:rPr>
          <w:rFonts w:hint="eastAsia" w:ascii="宋体" w:hAnsi="宋体"/>
          <w:sz w:val="24"/>
        </w:rPr>
        <w:t>负责人必须具有丰富施工经验具备相应能力的人员。并详细解释操作说明、系统维护方法及注意事项，并热忱回答业主方所关心的技术问题。</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5.乙方负责安装、调试、试生产过程中因乙方质量问题造成的所有整改，整改时间≤5天（含节假日）内达标运行。</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乙方必须确保该批设备及辅件（尤其是料仓部分），在甲方现场不需要使用特殊工装、夹具，采用通用设备、工具就能顺利进行组装拼接，单件装配体≤4800kg。</w:t>
      </w:r>
    </w:p>
    <w:p>
      <w:pPr>
        <w:widowControl/>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确保各螺旋输送设备物料输送顺畅无卡阻,螺旋运转顺畅无卡阻无异响；各设备结构强度可靠牢固；确保密封密闭，无跑冒滴漏；盖板均匀、折弯高度统一、边角倒圆、外观规整，运行工况无滴漏；便于检修、维护。</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8.设备颜色外观整齐统一美观；设备外部不允许有导致安全隐患的锐棱、锐角、飞边毛刺等，设备外露旋转部位必须有可靠符合相关标准的安全防护装置。</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9.零件、机壳、盖板、</w:t>
      </w:r>
      <w:r>
        <w:rPr>
          <w:rFonts w:asciiTheme="minorEastAsia" w:hAnsiTheme="minorEastAsia" w:eastAsiaTheme="minorEastAsia" w:cstheme="minorEastAsia"/>
          <w:sz w:val="24"/>
          <w:szCs w:val="24"/>
        </w:rPr>
        <w:t>法兰、筋条</w:t>
      </w:r>
      <w:r>
        <w:rPr>
          <w:rFonts w:hint="eastAsia" w:asciiTheme="minorEastAsia" w:hAnsiTheme="minorEastAsia" w:eastAsiaTheme="minorEastAsia" w:cstheme="minorEastAsia"/>
          <w:sz w:val="24"/>
          <w:szCs w:val="24"/>
        </w:rPr>
        <w:t>等不得采用火焰、等离子加工。须采用激光切割、锯床机加工或等同激光切割、锯床机加工的表面粗糙度。</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乙方每周五向甲方提供工期进度管控表，并报告本周施工进展及相关进展图片，进度资料发送到邮箱：</w:t>
      </w:r>
      <w:r>
        <w:rPr>
          <w:rFonts w:asciiTheme="minorEastAsia" w:hAnsiTheme="minorEastAsia" w:eastAsiaTheme="minorEastAsia" w:cstheme="minorEastAsia"/>
          <w:sz w:val="24"/>
          <w:szCs w:val="24"/>
          <w:u w:val="single"/>
        </w:rPr>
        <w:t xml:space="preserve">xujianglan@leoking.com </w:t>
      </w:r>
      <w:r>
        <w:rPr>
          <w:rFonts w:hint="eastAsia" w:asciiTheme="minorEastAsia" w:hAnsiTheme="minorEastAsia" w:eastAsiaTheme="minorEastAsia" w:cstheme="minorEastAsia"/>
          <w:sz w:val="24"/>
          <w:szCs w:val="24"/>
        </w:rPr>
        <w:t>。</w:t>
      </w:r>
    </w:p>
    <w:p>
      <w:pPr>
        <w:spacing w:line="360" w:lineRule="auto"/>
        <w:ind w:firstLine="480" w:firstLineChars="200"/>
        <w:jc w:val="left"/>
        <w:rPr>
          <w:rFonts w:hint="eastAsia" w:ascii="宋体" w:hAnsi="宋体"/>
          <w:sz w:val="24"/>
          <w:szCs w:val="24"/>
        </w:rPr>
      </w:pPr>
      <w:r>
        <w:rPr>
          <w:rFonts w:hint="eastAsia" w:asciiTheme="minorEastAsia" w:hAnsiTheme="minorEastAsia" w:eastAsiaTheme="minorEastAsia" w:cstheme="minorEastAsia"/>
          <w:sz w:val="24"/>
          <w:szCs w:val="24"/>
        </w:rPr>
        <w:t>11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甲方有权驻厂</w:t>
      </w:r>
      <w:r>
        <w:rPr>
          <w:rFonts w:hint="eastAsia" w:ascii="宋体" w:hAnsi="宋体"/>
          <w:sz w:val="24"/>
        </w:rPr>
        <w:t>参与监制生产全过程。</w:t>
      </w:r>
      <w:r>
        <w:rPr>
          <w:rFonts w:hint="eastAsia" w:asciiTheme="minorEastAsia" w:hAnsiTheme="minorEastAsia" w:eastAsiaTheme="minorEastAsia" w:cstheme="minorEastAsia"/>
          <w:sz w:val="24"/>
          <w:szCs w:val="24"/>
        </w:rPr>
        <w:t>乙方提前一周邮件邀请甲方，通知制造过程重大时间节点，如材料进场、下料、拼装、组焊、装配、按使用现场整体拼装试机试水的监制。乙方需为甲方现场监制人员的食宿、交通提供便利。</w:t>
      </w:r>
      <w:r>
        <w:rPr>
          <w:rFonts w:hint="eastAsia" w:ascii="宋体" w:hAnsi="宋体"/>
          <w:sz w:val="24"/>
          <w:szCs w:val="24"/>
        </w:rPr>
        <w:t>甲方是否</w:t>
      </w:r>
      <w:r>
        <w:rPr>
          <w:rFonts w:hint="eastAsia" w:asciiTheme="minorEastAsia" w:hAnsiTheme="minorEastAsia" w:eastAsiaTheme="minorEastAsia" w:cstheme="minorEastAsia"/>
          <w:sz w:val="24"/>
          <w:szCs w:val="24"/>
        </w:rPr>
        <w:t>驻厂</w:t>
      </w:r>
      <w:r>
        <w:rPr>
          <w:rFonts w:hint="eastAsia" w:ascii="宋体" w:hAnsi="宋体"/>
          <w:sz w:val="24"/>
        </w:rPr>
        <w:t>监制</w:t>
      </w:r>
      <w:r>
        <w:rPr>
          <w:rFonts w:hint="eastAsia" w:ascii="宋体" w:hAnsi="宋体"/>
          <w:sz w:val="24"/>
          <w:szCs w:val="24"/>
        </w:rPr>
        <w:t>并不能减轻或免除乙方在本合同项下的所有责任。</w:t>
      </w:r>
    </w:p>
    <w:p>
      <w:pPr>
        <w:spacing w:line="360" w:lineRule="auto"/>
        <w:ind w:firstLine="480" w:firstLineChars="200"/>
        <w:jc w:val="left"/>
        <w:rPr>
          <w:rFonts w:hint="eastAsia" w:ascii="宋体" w:hAnsi="宋体" w:eastAsiaTheme="minorEastAsia"/>
          <w:sz w:val="24"/>
          <w:szCs w:val="24"/>
        </w:rPr>
      </w:pPr>
      <w:r>
        <w:rPr>
          <w:rFonts w:hint="eastAsia" w:ascii="宋体" w:hAnsi="宋体"/>
          <w:sz w:val="24"/>
          <w:szCs w:val="24"/>
        </w:rPr>
        <w:t>12.</w:t>
      </w:r>
      <w:r>
        <w:rPr>
          <w:rFonts w:hint="eastAsia" w:asciiTheme="minorEastAsia" w:hAnsiTheme="minorEastAsia" w:eastAsiaTheme="minorEastAsia" w:cstheme="minorEastAsia"/>
          <w:sz w:val="24"/>
          <w:szCs w:val="24"/>
        </w:rPr>
        <w:t>签订合同后，甲方有权根据使用要求对设计提资作相应调整，调整后通过现有通讯方式通知乙方，乙方收到调整通知后若未及时回复则视为同意调整；若乙方对调整有异议，则需与甲方沟通有效方案，直至满足甲方使用要求。</w:t>
      </w:r>
    </w:p>
    <w:p>
      <w:pPr>
        <w:pStyle w:val="13"/>
        <w:numPr>
          <w:ilvl w:val="0"/>
          <w:numId w:val="1"/>
        </w:numPr>
        <w:spacing w:line="360" w:lineRule="auto"/>
        <w:jc w:val="left"/>
        <w:rPr>
          <w:sz w:val="28"/>
          <w:szCs w:val="28"/>
        </w:rPr>
      </w:pPr>
      <w:r>
        <w:rPr>
          <w:rFonts w:hint="eastAsia"/>
          <w:sz w:val="28"/>
          <w:szCs w:val="28"/>
        </w:rPr>
        <w:t>技术要求</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 xml:space="preserve"> </w:t>
      </w:r>
      <w:r>
        <w:rPr>
          <w:rFonts w:ascii="宋体" w:hAnsi="宋体"/>
          <w:bCs w:val="0"/>
          <w:sz w:val="24"/>
          <w:szCs w:val="24"/>
        </w:rPr>
        <w:t>通用技术要求</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电机减速机参数供参考，确保螺旋输送机输送能力达设计输送量，若调整速比和其它参数需经甲方书面同意；</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变频螺旋所</w:t>
      </w:r>
      <w:r>
        <w:rPr>
          <w:rFonts w:asciiTheme="minorEastAsia" w:hAnsiTheme="minorEastAsia" w:eastAsiaTheme="minorEastAsia" w:cstheme="minorEastAsia"/>
          <w:sz w:val="24"/>
          <w:szCs w:val="24"/>
        </w:rPr>
        <w:t>配置的</w:t>
      </w:r>
      <w:r>
        <w:rPr>
          <w:rFonts w:hint="eastAsia" w:asciiTheme="minorEastAsia" w:hAnsiTheme="minorEastAsia" w:eastAsiaTheme="minorEastAsia" w:cstheme="minorEastAsia"/>
          <w:sz w:val="24"/>
          <w:szCs w:val="24"/>
        </w:rPr>
        <w:t>减速机</w:t>
      </w:r>
      <w:r>
        <w:rPr>
          <w:rFonts w:asciiTheme="minorEastAsia" w:hAnsiTheme="minorEastAsia" w:eastAsiaTheme="minorEastAsia" w:cstheme="minorEastAsia"/>
          <w:sz w:val="24"/>
          <w:szCs w:val="24"/>
        </w:rPr>
        <w:t>电机</w:t>
      </w:r>
      <w:r>
        <w:rPr>
          <w:rFonts w:hint="eastAsia" w:asciiTheme="minorEastAsia" w:hAnsiTheme="minorEastAsia" w:eastAsiaTheme="minorEastAsia" w:cstheme="minorEastAsia"/>
          <w:sz w:val="24"/>
          <w:szCs w:val="24"/>
        </w:rPr>
        <w:t>为</w:t>
      </w:r>
      <w:r>
        <w:rPr>
          <w:rFonts w:asciiTheme="minorEastAsia" w:hAnsiTheme="minorEastAsia" w:eastAsiaTheme="minorEastAsia" w:cstheme="minorEastAsia"/>
          <w:sz w:val="24"/>
          <w:szCs w:val="24"/>
        </w:rPr>
        <w:t>配备独立风扇电源的可调频电机</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调频范围</w:t>
      </w:r>
      <w:r>
        <w:rPr>
          <w:rFonts w:hint="eastAsia" w:asciiTheme="minorEastAsia" w:hAnsiTheme="minorEastAsia" w:eastAsiaTheme="minorEastAsia" w:cstheme="minorEastAsia"/>
          <w:sz w:val="24"/>
          <w:szCs w:val="24"/>
        </w:rPr>
        <w:t>25-75Hz；减速</w:t>
      </w:r>
      <w:r>
        <w:rPr>
          <w:rFonts w:asciiTheme="minorEastAsia" w:hAnsiTheme="minorEastAsia" w:eastAsiaTheme="minorEastAsia" w:cstheme="minorEastAsia"/>
          <w:sz w:val="24"/>
          <w:szCs w:val="24"/>
        </w:rPr>
        <w:t>电机品牌</w:t>
      </w:r>
      <w:r>
        <w:rPr>
          <w:rFonts w:hint="eastAsia" w:asciiTheme="minorEastAsia" w:hAnsiTheme="minorEastAsia" w:eastAsiaTheme="minorEastAsia" w:cstheme="minorEastAsia"/>
          <w:sz w:val="24"/>
          <w:szCs w:val="24"/>
        </w:rPr>
        <w:t>限定</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国茂</w:t>
      </w:r>
      <w:r>
        <w:rPr>
          <w:rFonts w:asciiTheme="minorEastAsia" w:hAnsiTheme="minorEastAsia" w:eastAsiaTheme="minorEastAsia" w:cstheme="minorEastAsia"/>
          <w:sz w:val="24"/>
          <w:szCs w:val="24"/>
        </w:rPr>
        <w:t>、浙江恒</w:t>
      </w:r>
      <w:r>
        <w:rPr>
          <w:rFonts w:hint="eastAsia" w:asciiTheme="minorEastAsia" w:hAnsiTheme="minorEastAsia" w:eastAsiaTheme="minorEastAsia" w:cstheme="minorEastAsia"/>
          <w:sz w:val="24"/>
          <w:szCs w:val="24"/>
        </w:rPr>
        <w:t>齿</w:t>
      </w:r>
      <w:r>
        <w:rPr>
          <w:rFonts w:asciiTheme="minorEastAsia" w:hAnsiTheme="minorEastAsia" w:eastAsiaTheme="minorEastAsia" w:cstheme="minorEastAsia"/>
          <w:sz w:val="24"/>
          <w:szCs w:val="24"/>
        </w:rPr>
        <w:t>、浙江通力、诺德</w:t>
      </w:r>
      <w:r>
        <w:rPr>
          <w:rFonts w:hint="eastAsia" w:asciiTheme="minorEastAsia" w:hAnsiTheme="minorEastAsia" w:eastAsiaTheme="minorEastAsia" w:cstheme="minorEastAsia"/>
          <w:sz w:val="24"/>
          <w:szCs w:val="24"/>
        </w:rPr>
        <w:t>或同等品牌</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电机选用国产优质品牌，报甲方认可后执行。</w:t>
      </w:r>
      <w:r>
        <w:rPr>
          <w:rFonts w:asciiTheme="minorEastAsia" w:hAnsiTheme="minorEastAsia" w:eastAsiaTheme="minorEastAsia" w:cstheme="minorEastAsia"/>
          <w:sz w:val="24"/>
          <w:szCs w:val="24"/>
        </w:rPr>
        <w:t>电机等级：防护等级IP55，绝缘等级F，</w:t>
      </w:r>
      <w:r>
        <w:rPr>
          <w:rFonts w:hint="eastAsia" w:asciiTheme="minorEastAsia" w:hAnsiTheme="minorEastAsia" w:eastAsiaTheme="minorEastAsia" w:cstheme="minorEastAsia"/>
          <w:sz w:val="24"/>
          <w:szCs w:val="24"/>
        </w:rPr>
        <w:t>非</w:t>
      </w:r>
      <w:r>
        <w:rPr>
          <w:rFonts w:asciiTheme="minorEastAsia" w:hAnsiTheme="minorEastAsia" w:eastAsiaTheme="minorEastAsia" w:cstheme="minorEastAsia"/>
          <w:sz w:val="24"/>
          <w:szCs w:val="24"/>
        </w:rPr>
        <w:t>变频电机能耗等级GB18613-20</w:t>
      </w:r>
      <w:r>
        <w:rPr>
          <w:rFonts w:hint="eastAsia" w:asciiTheme="minorEastAsia" w:hAnsiTheme="minorEastAsia" w:eastAsiaTheme="minorEastAsia" w:cstheme="minorEastAsia"/>
          <w:sz w:val="24"/>
          <w:szCs w:val="24"/>
        </w:rPr>
        <w:t>20</w:t>
      </w:r>
      <w:r>
        <w:rPr>
          <w:rFonts w:asciiTheme="minorEastAsia" w:hAnsiTheme="minorEastAsia" w:eastAsiaTheme="minorEastAsia" w:cstheme="minorEastAsia"/>
          <w:sz w:val="24"/>
          <w:szCs w:val="24"/>
        </w:rPr>
        <w:t xml:space="preserve"> 2级</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轴承选用国产优质产品，品牌限定：</w:t>
      </w:r>
      <w:r>
        <w:rPr>
          <w:rFonts w:asciiTheme="minorEastAsia" w:hAnsiTheme="minorEastAsia" w:eastAsiaTheme="minorEastAsia" w:cstheme="minorEastAsia"/>
          <w:sz w:val="24"/>
          <w:szCs w:val="24"/>
        </w:rPr>
        <w:t>哈尔滨</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瓦房店</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洛轴</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螺旋输送机外形为</w:t>
      </w:r>
      <w:r>
        <w:rPr>
          <w:rFonts w:asciiTheme="minorEastAsia" w:hAnsiTheme="minorEastAsia" w:eastAsiaTheme="minorEastAsia" w:cstheme="minorEastAsia"/>
          <w:sz w:val="24"/>
          <w:szCs w:val="24"/>
        </w:rPr>
        <w:t>U</w:t>
      </w:r>
      <w:r>
        <w:rPr>
          <w:rFonts w:hint="eastAsia" w:asciiTheme="minorEastAsia" w:hAnsiTheme="minorEastAsia" w:eastAsiaTheme="minorEastAsia" w:cstheme="minorEastAsia"/>
          <w:sz w:val="24"/>
          <w:szCs w:val="24"/>
        </w:rPr>
        <w:t>型机壳，壳体、盖板、连接法兰均采用</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材质，其中机体连接法兰厚度不低于</w:t>
      </w:r>
      <w:r>
        <w:rPr>
          <w:rFonts w:asciiTheme="minorEastAsia" w:hAnsiTheme="minorEastAsia" w:eastAsiaTheme="minorEastAsia" w:cstheme="minorEastAsia"/>
          <w:sz w:val="24"/>
          <w:szCs w:val="24"/>
        </w:rPr>
        <w:t>10mm</w:t>
      </w:r>
      <w:r>
        <w:rPr>
          <w:rFonts w:hint="eastAsia" w:asciiTheme="minorEastAsia" w:hAnsiTheme="minorEastAsia" w:eastAsiaTheme="minorEastAsia" w:cstheme="minorEastAsia"/>
          <w:sz w:val="24"/>
          <w:szCs w:val="24"/>
        </w:rPr>
        <w:t>，减速机（或轴承座）连接法兰厚度不低于</w:t>
      </w:r>
      <w:r>
        <w:rPr>
          <w:rFonts w:asciiTheme="minorEastAsia" w:hAnsiTheme="minorEastAsia" w:eastAsiaTheme="minorEastAsia" w:cstheme="minorEastAsia"/>
          <w:sz w:val="24"/>
          <w:szCs w:val="24"/>
        </w:rPr>
        <w:t>20mm</w:t>
      </w:r>
      <w:r>
        <w:rPr>
          <w:rFonts w:hint="eastAsia" w:asciiTheme="minorEastAsia" w:hAnsiTheme="minorEastAsia" w:eastAsiaTheme="minorEastAsia" w:cstheme="minorEastAsia"/>
          <w:sz w:val="24"/>
          <w:szCs w:val="24"/>
        </w:rPr>
        <w:t>，圆管法兰无特殊注明的按</w:t>
      </w:r>
      <w:r>
        <w:rPr>
          <w:rFonts w:asciiTheme="minorEastAsia" w:hAnsiTheme="minorEastAsia" w:eastAsiaTheme="minorEastAsia" w:cstheme="minorEastAsia"/>
          <w:sz w:val="24"/>
          <w:szCs w:val="24"/>
        </w:rPr>
        <w:t>GB/T9119-2010</w:t>
      </w:r>
      <w:r>
        <w:rPr>
          <w:rFonts w:hint="eastAsia" w:asciiTheme="minorEastAsia" w:hAnsiTheme="minorEastAsia" w:eastAsiaTheme="minorEastAsia" w:cstheme="minorEastAsia"/>
          <w:sz w:val="24"/>
          <w:szCs w:val="24"/>
        </w:rPr>
        <w:t>凸面平焊法兰</w:t>
      </w:r>
      <w:r>
        <w:rPr>
          <w:rFonts w:asciiTheme="minorEastAsia" w:hAnsiTheme="minorEastAsia" w:eastAsiaTheme="minorEastAsia" w:cstheme="minorEastAsia"/>
          <w:sz w:val="24"/>
          <w:szCs w:val="24"/>
        </w:rPr>
        <w:t>II</w:t>
      </w:r>
      <w:r>
        <w:rPr>
          <w:rFonts w:hint="eastAsia" w:asciiTheme="minorEastAsia" w:hAnsiTheme="minorEastAsia" w:eastAsiaTheme="minorEastAsia" w:cstheme="minorEastAsia"/>
          <w:sz w:val="24"/>
          <w:szCs w:val="24"/>
        </w:rPr>
        <w:t>系列中</w:t>
      </w:r>
      <w:r>
        <w:rPr>
          <w:rFonts w:asciiTheme="minorEastAsia" w:hAnsiTheme="minorEastAsia" w:eastAsiaTheme="minorEastAsia" w:cstheme="minorEastAsia"/>
          <w:sz w:val="24"/>
          <w:szCs w:val="24"/>
        </w:rPr>
        <w:t>PN10</w:t>
      </w:r>
      <w:r>
        <w:rPr>
          <w:rFonts w:hint="eastAsia" w:asciiTheme="minorEastAsia" w:hAnsiTheme="minorEastAsia" w:eastAsiaTheme="minorEastAsia" w:cstheme="minorEastAsia"/>
          <w:sz w:val="24"/>
          <w:szCs w:val="24"/>
        </w:rPr>
        <w:t>选取；螺旋叶外部必须圆滑平整；</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所有材料实际板厚按照以下标准执行：</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10mm板厚度不得小于9.7mm；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8mm板厚度不得小于7.7mm；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6mm板厚度不得小于5.8mm；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5mm板厚度不得小于4.7mm；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4mm板厚度不得小于3.7mm；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3mm板厚度不得小于2.7mm；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2mm板厚度不得小于1.8mm；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若板厚不满足以上要求，甲方有权要求</w:t>
      </w:r>
      <w:r>
        <w:rPr>
          <w:rFonts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rPr>
        <w:t>重新制作或更换合格板厚。</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乙方材料进场时提供原材料采购证明及材质证明、材质检测报告及邮寄样本给甲方；</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螺旋轴采用40Cr或综合性能优于40Cr的材料；</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组装前严格检查零件尺寸并清除零件加工时残留的锐角、毛刺；</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壳体与壳体之间连接采用≥</w:t>
      </w:r>
      <w:r>
        <w:rPr>
          <w:rFonts w:asciiTheme="minorEastAsia" w:hAnsiTheme="minorEastAsia" w:eastAsiaTheme="minorEastAsia" w:cstheme="minorEastAsia"/>
          <w:sz w:val="24"/>
          <w:szCs w:val="24"/>
        </w:rPr>
        <w:t>M10</w:t>
      </w:r>
      <w:r>
        <w:rPr>
          <w:rFonts w:hint="eastAsia" w:asciiTheme="minorEastAsia" w:hAnsiTheme="minorEastAsia" w:eastAsiaTheme="minorEastAsia" w:cstheme="minorEastAsia"/>
          <w:sz w:val="24"/>
          <w:szCs w:val="24"/>
        </w:rPr>
        <w:t>螺钉组连接，盖板和壳体连接采用≥</w:t>
      </w:r>
      <w:r>
        <w:rPr>
          <w:rFonts w:asciiTheme="minorEastAsia" w:hAnsiTheme="minorEastAsia" w:eastAsiaTheme="minorEastAsia" w:cstheme="minorEastAsia"/>
          <w:sz w:val="24"/>
          <w:szCs w:val="24"/>
        </w:rPr>
        <w:t>M10</w:t>
      </w:r>
      <w:r>
        <w:rPr>
          <w:rFonts w:hint="eastAsia" w:asciiTheme="minorEastAsia" w:hAnsiTheme="minorEastAsia" w:eastAsiaTheme="minorEastAsia" w:cstheme="minorEastAsia"/>
          <w:sz w:val="24"/>
          <w:szCs w:val="24"/>
        </w:rPr>
        <w:t xml:space="preserve">不锈钢螺钉组固定，其余连接处按标准件规定选择螺栓规格； </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各输送机进出口配置配对法兰，配对法兰等位置的螺栓孔配套螺栓、平垫、弹垫、螺母，均由</w:t>
      </w:r>
      <w:r>
        <w:rPr>
          <w:rFonts w:asciiTheme="minorEastAsia" w:hAnsiTheme="minorEastAsia" w:eastAsiaTheme="minorEastAsia" w:cstheme="minorEastAsia"/>
          <w:sz w:val="24"/>
          <w:szCs w:val="24"/>
        </w:rPr>
        <w:t>乙</w:t>
      </w:r>
      <w:r>
        <w:rPr>
          <w:rFonts w:hint="eastAsia" w:asciiTheme="minorEastAsia" w:hAnsiTheme="minorEastAsia" w:eastAsiaTheme="minorEastAsia" w:cstheme="minorEastAsia"/>
          <w:sz w:val="24"/>
          <w:szCs w:val="24"/>
        </w:rPr>
        <w:t>方出厂前配套齐全，配对法兰需配置密封垫，确保不漏水、不漏气；</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机盖连接用螺栓组材质为不锈钢</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，性能等级A2-70，减速电机固定法兰螺栓≥</w:t>
      </w:r>
      <w:r>
        <w:rPr>
          <w:rFonts w:asciiTheme="minorEastAsia" w:hAnsiTheme="minorEastAsia" w:eastAsiaTheme="minorEastAsia" w:cstheme="minorEastAsia"/>
          <w:sz w:val="24"/>
          <w:szCs w:val="24"/>
        </w:rPr>
        <w:t>8.8</w:t>
      </w:r>
      <w:r>
        <w:rPr>
          <w:rFonts w:hint="eastAsia" w:asciiTheme="minorEastAsia" w:hAnsiTheme="minorEastAsia" w:eastAsiaTheme="minorEastAsia" w:cstheme="minorEastAsia"/>
          <w:sz w:val="24"/>
          <w:szCs w:val="24"/>
        </w:rPr>
        <w:t>级热浸镀锌螺栓组；</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所有连接法兰，包括攻牙孔等螺旋孔位，均需配置配套螺栓、平弹垫；</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所有支撑架等配件按图纸样式制作；</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螺旋输送机上配置的优质成品</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不锈钢快拆盖需设有硅胶密封圈，防止气液跑冒滴漏；</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螺旋输送机上面的非成品304不锈钢快拆盖，需要配备泡沫密封胶垫，防止气臭气外溢；</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所有设备螺旋叶外径公差为±</w:t>
      </w:r>
      <w:r>
        <w:rPr>
          <w:rFonts w:asciiTheme="minorEastAsia" w:hAnsiTheme="minorEastAsia" w:eastAsiaTheme="minorEastAsia" w:cstheme="minorEastAsia"/>
          <w:sz w:val="24"/>
          <w:szCs w:val="24"/>
        </w:rPr>
        <w:t>1.2mm</w:t>
      </w:r>
      <w:r>
        <w:rPr>
          <w:rFonts w:hint="eastAsia" w:asciiTheme="minorEastAsia" w:hAnsiTheme="minorEastAsia" w:eastAsiaTheme="minorEastAsia" w:cstheme="minorEastAsia"/>
          <w:sz w:val="24"/>
          <w:szCs w:val="24"/>
        </w:rPr>
        <w:t>，螺距为公差为±</w:t>
      </w:r>
      <w:r>
        <w:rPr>
          <w:rFonts w:asciiTheme="minorEastAsia" w:hAnsiTheme="minorEastAsia" w:eastAsiaTheme="minorEastAsia" w:cstheme="minorEastAsia"/>
          <w:sz w:val="24"/>
          <w:szCs w:val="24"/>
        </w:rPr>
        <w:t>10mm</w:t>
      </w:r>
      <w:r>
        <w:rPr>
          <w:rFonts w:hint="eastAsia" w:asciiTheme="minorEastAsia" w:hAnsiTheme="minorEastAsia" w:eastAsiaTheme="minorEastAsia" w:cstheme="minorEastAsia"/>
          <w:sz w:val="24"/>
          <w:szCs w:val="24"/>
        </w:rPr>
        <w:t>；螺旋体同轴度偏差不超过</w:t>
      </w:r>
      <w:r>
        <w:rPr>
          <w:rFonts w:asciiTheme="minorEastAsia" w:hAnsiTheme="minorEastAsia" w:eastAsiaTheme="minorEastAsia" w:cstheme="minorEastAsia"/>
          <w:sz w:val="24"/>
          <w:szCs w:val="24"/>
        </w:rPr>
        <w:t>3mm</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各设备非进料口、出料口处不能出现漏液滴漏现象，螺旋旋转时必须平稳、顺畅不得有卡阻和跳动等不良现象；</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法兰与法兰连接垫片，螺旋壳体与上盖、所有可拆盖板均采用硅胶密封胶垫，确保不漏水、不漏气，若选择其他密封垫材质，需要取得双方认可；</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在电机驱动端面处贴示螺旋叶旋转方向和物料的进出口标识，需保证标识的准确性，不能错乱；</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焊接件应符合</w:t>
      </w:r>
      <w:r>
        <w:rPr>
          <w:rFonts w:asciiTheme="minorEastAsia" w:hAnsiTheme="minorEastAsia" w:eastAsiaTheme="minorEastAsia" w:cstheme="minorEastAsia"/>
          <w:sz w:val="24"/>
          <w:szCs w:val="24"/>
        </w:rPr>
        <w:t>GB/T 12469</w:t>
      </w:r>
      <w:r>
        <w:rPr>
          <w:rFonts w:hint="eastAsia" w:asciiTheme="minorEastAsia" w:hAnsiTheme="minorEastAsia" w:eastAsiaTheme="minorEastAsia" w:cstheme="minorEastAsia"/>
          <w:sz w:val="24"/>
          <w:szCs w:val="24"/>
        </w:rPr>
        <w:t>中的缺陷分级的三级要求，本设备制作需符合</w:t>
      </w:r>
      <w:r>
        <w:rPr>
          <w:rFonts w:asciiTheme="minorEastAsia" w:hAnsiTheme="minorEastAsia" w:eastAsiaTheme="minorEastAsia" w:cstheme="minorEastAsia"/>
          <w:sz w:val="24"/>
          <w:szCs w:val="24"/>
        </w:rPr>
        <w:t>JB/T 7679-2008</w:t>
      </w:r>
      <w:r>
        <w:rPr>
          <w:rFonts w:hint="eastAsia" w:asciiTheme="minorEastAsia" w:hAnsiTheme="minorEastAsia" w:eastAsiaTheme="minorEastAsia" w:cstheme="minorEastAsia"/>
          <w:sz w:val="24"/>
          <w:szCs w:val="24"/>
        </w:rPr>
        <w:t>《螺旋输送机》相关规定；</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所有设备整体喷涂颜色不锈钢本色；所有碳钢材料经抛丸除锈达Sa2.5级，</w:t>
      </w:r>
      <w:r>
        <w:rPr>
          <w:rFonts w:asciiTheme="minorEastAsia" w:hAnsiTheme="minorEastAsia" w:eastAsiaTheme="minorEastAsia" w:cstheme="minorEastAsia"/>
          <w:sz w:val="24"/>
          <w:szCs w:val="24"/>
        </w:rPr>
        <w:t>按以下工艺防腐处理</w:t>
      </w:r>
      <w:r>
        <w:rPr>
          <w:rFonts w:hint="eastAsia" w:asciiTheme="minorEastAsia" w:hAnsiTheme="minorEastAsia" w:eastAsiaTheme="minorEastAsia" w:cstheme="minorEastAsia"/>
          <w:sz w:val="24"/>
          <w:szCs w:val="24"/>
        </w:rPr>
        <w:t>：</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涂装环氧富锌一道，干膜厚度大于</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涂装环氧云铁中漆一道，干膜厚度大于</w:t>
      </w:r>
      <w:r>
        <w:rPr>
          <w:rFonts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t>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涂装聚氨酯面漆二道，干膜厚度大于80μm。</w:t>
      </w:r>
    </w:p>
    <w:p>
      <w:pPr>
        <w:numPr>
          <w:ilvl w:val="255"/>
          <w:numId w:val="0"/>
        </w:numPr>
        <w:autoSpaceDE w:val="0"/>
        <w:autoSpaceDN w:val="0"/>
        <w:adjustRightInd w:val="0"/>
        <w:spacing w:line="360" w:lineRule="auto"/>
        <w:jc w:val="left"/>
        <w:rPr>
          <w:rFonts w:hint="eastAsia" w:ascii="宋体" w:hAnsi="宋体" w:cs="宋体"/>
          <w:sz w:val="24"/>
          <w:szCs w:val="24"/>
        </w:rPr>
      </w:pPr>
      <w:r>
        <w:rPr>
          <w:rFonts w:ascii="宋体" w:hAnsi="宋体" w:cs="宋体"/>
          <w:sz w:val="24"/>
          <w:szCs w:val="24"/>
        </w:rPr>
        <w:t xml:space="preserve">    其中栏杆及扶手热浸镀锌处理后喷漆，喷漆颜色：RAL1003信号黄 ，喷漆类型ED1000环氧底漆两道（80μm），聚氨酯面漆两道（80μm）。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面漆颜色：不少于3种颜色的漆搭配喷涂，按甲方提供的样式、颜色喷涂，包括甲方的LOGO标识</w:t>
      </w:r>
      <w:r>
        <w:rPr>
          <w:rFonts w:hint="eastAsia" w:asciiTheme="minorEastAsia" w:hAnsiTheme="minorEastAsia" w:eastAsiaTheme="minorEastAsia" w:cstheme="minorEastAsia"/>
          <w:sz w:val="24"/>
          <w:szCs w:val="24"/>
        </w:rPr>
        <w:t>，甲方提供颜色色卡号。</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所有螺旋检查盖，观察盖等盖板，须配备密封垫；</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各设备按甲方提供的样式制作设备铭牌（甲方</w:t>
      </w:r>
      <w:r>
        <w:rPr>
          <w:rFonts w:asciiTheme="minorEastAsia" w:hAnsiTheme="minorEastAsia" w:eastAsiaTheme="minorEastAsia" w:cstheme="minorEastAsia"/>
          <w:sz w:val="24"/>
          <w:szCs w:val="24"/>
        </w:rPr>
        <w:t>logo</w:t>
      </w:r>
      <w:r>
        <w:rPr>
          <w:rFonts w:hint="eastAsia" w:asciiTheme="minorEastAsia" w:hAnsiTheme="minorEastAsia" w:eastAsiaTheme="minorEastAsia" w:cstheme="minorEastAsia"/>
          <w:sz w:val="24"/>
          <w:szCs w:val="24"/>
        </w:rPr>
        <w:t>），并固定安装于设备明显位置，铭牌以甲方为主，可体现乙方公司名称及联系方式，和出厂编号；</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其他技术要求详见图纸、图纸备注或图纸技术要求；</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各螺旋填料密封均需保证设备正常使用情况下，密封填料使用寿命达半个月以上，填料不少于三圈，填料箱设计合理便于调节及更换填料，设计有足够的空间更换填料；填料密封处均需设置防滴漏接口；</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各螺旋输送机的轴头驱动部分均设置轴承，轴承箱均设有注油嘴，结构便于轴承的更换；</w:t>
      </w:r>
      <w:r>
        <w:rPr>
          <w:rFonts w:asciiTheme="minorEastAsia" w:hAnsiTheme="minorEastAsia" w:eastAsiaTheme="minorEastAsia" w:cstheme="minorEastAsia"/>
          <w:sz w:val="24"/>
          <w:szCs w:val="24"/>
        </w:rPr>
        <w:t xml:space="preserve"> </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减速机使用系数不得低于1.3；</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乙方需要提供螺旋的轴承箱驱动轴处的大样图，以及螺旋填料箱大样图；</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其他未尽事宜，详见设备图纸及图中技术要求；</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螺旋</w:t>
      </w:r>
      <w:r>
        <w:rPr>
          <w:rFonts w:ascii="宋体" w:hAnsi="宋体"/>
          <w:bCs w:val="0"/>
          <w:sz w:val="24"/>
          <w:szCs w:val="24"/>
        </w:rPr>
        <w:t>输送机</w:t>
      </w:r>
    </w:p>
    <w:p>
      <w:pPr>
        <w:numPr>
          <w:ilvl w:val="0"/>
          <w:numId w:val="12"/>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乙方提供的设备应功能完整、技术先进。能满足人身安全和劳动保护条件；</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螺旋输送机要求有可靠密封，运转过程中不得出现泄漏等情况；</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所有设备均应正确设计和制造，在正常工况下安全、持续运行，不应有过度的应力、振动、温升、磨损、腐蚀、老化等问题；</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零部件应采用先进、可靠的加工制造技术，螺旋应有良好的表面几何形状及合适的公差配合。驱动轴材料40Cr调质处理。螺旋轴吊挂轴承处应可靠密封防尘，充分考虑衬套的润滑条件，可从壳体外部加注润滑脂。吊轴承考虑保护措施防止被泥饼冲击；</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所有外购配套件必须选用优质、节能、先进的产品。卖方对外购部件及材料进行检验，并对其质量负责； </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确保焊接质量，进行必要的退火处理，消除内应力。不能有夹层、折叠、裂纹、结疤等缺陷；</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减速机额定功率不小于电机功率的150%，使用系数≥1.3；</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螺旋输送机实际输送能力不低于设计输送能力，</w:t>
      </w:r>
      <w:r>
        <w:rPr>
          <w:rFonts w:asciiTheme="minorEastAsia" w:hAnsiTheme="minorEastAsia" w:eastAsiaTheme="minorEastAsia" w:cstheme="minorEastAsia"/>
          <w:sz w:val="24"/>
          <w:szCs w:val="24"/>
        </w:rPr>
        <w:t>输送顺畅,无卡阻,无异响,可</w:t>
      </w:r>
      <w:r>
        <w:rPr>
          <w:rFonts w:hint="eastAsia" w:asciiTheme="minorEastAsia" w:hAnsiTheme="minorEastAsia" w:eastAsiaTheme="minorEastAsia" w:cstheme="minorEastAsia"/>
          <w:sz w:val="24"/>
          <w:szCs w:val="24"/>
        </w:rPr>
        <w:t>及时</w:t>
      </w:r>
      <w:r>
        <w:rPr>
          <w:rFonts w:asciiTheme="minorEastAsia" w:hAnsiTheme="minorEastAsia" w:eastAsiaTheme="minorEastAsia" w:cstheme="minorEastAsia"/>
          <w:sz w:val="24"/>
          <w:szCs w:val="24"/>
        </w:rPr>
        <w:t>将</w:t>
      </w:r>
      <w:r>
        <w:rPr>
          <w:rFonts w:hint="eastAsia" w:asciiTheme="minorEastAsia" w:hAnsiTheme="minorEastAsia" w:eastAsiaTheme="minorEastAsia" w:cstheme="minorEastAsia"/>
          <w:sz w:val="24"/>
          <w:szCs w:val="24"/>
        </w:rPr>
        <w:t>物料</w:t>
      </w:r>
      <w:r>
        <w:rPr>
          <w:rFonts w:asciiTheme="minorEastAsia" w:hAnsiTheme="minorEastAsia" w:eastAsiaTheme="minorEastAsia" w:cstheme="minorEastAsia"/>
          <w:sz w:val="24"/>
          <w:szCs w:val="24"/>
        </w:rPr>
        <w:t>输送至各</w:t>
      </w:r>
      <w:r>
        <w:rPr>
          <w:rFonts w:hint="eastAsia" w:asciiTheme="minorEastAsia" w:hAnsiTheme="minorEastAsia" w:eastAsiaTheme="minorEastAsia" w:cstheme="minorEastAsia"/>
          <w:sz w:val="24"/>
          <w:szCs w:val="24"/>
        </w:rPr>
        <w:t>输送</w:t>
      </w:r>
      <w:r>
        <w:rPr>
          <w:rFonts w:asciiTheme="minorEastAsia" w:hAnsiTheme="minorEastAsia" w:eastAsiaTheme="minorEastAsia" w:cstheme="minorEastAsia"/>
          <w:sz w:val="24"/>
          <w:szCs w:val="24"/>
        </w:rPr>
        <w:t>出口</w:t>
      </w:r>
      <w:r>
        <w:rPr>
          <w:rFonts w:hint="eastAsia" w:asciiTheme="minorEastAsia" w:hAnsiTheme="minorEastAsia" w:eastAsiaTheme="minorEastAsia" w:cstheme="minorEastAsia"/>
          <w:sz w:val="24"/>
          <w:szCs w:val="24"/>
        </w:rPr>
        <w:t>；</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#压滤机排渣螺旋</w:t>
      </w: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#压滤机排渣螺旋</w:t>
      </w:r>
      <w:r>
        <w:rPr>
          <w:rFonts w:hint="eastAsia" w:asciiTheme="minorEastAsia" w:hAnsiTheme="minorEastAsia" w:eastAsiaTheme="minorEastAsia" w:cstheme="minorEastAsia"/>
          <w:sz w:val="24"/>
          <w:szCs w:val="24"/>
        </w:rPr>
        <w:t>、和沼渣料仓对接处需采用软连接对接，由乙方配作提供。</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导料斗</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具备足够经验，充分考虑压滤机工作卸泥条件，设计可靠的料斗壳体结构和格栅破刀装置，保证设备结构可靠，可以承受泥饼冲击并完成对泥饼的初步破碎，满足螺旋输送机的物料要求。钢结构设计和制造执行GBJ17 、GB/J205标准的相关规定。</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导料斗壳体采用6mm以上Q235B</w:t>
      </w:r>
      <w:r>
        <w:rPr>
          <w:rFonts w:asciiTheme="minorEastAsia" w:hAnsiTheme="minorEastAsia" w:eastAsiaTheme="minorEastAsia" w:cstheme="minorEastAsia"/>
          <w:sz w:val="24"/>
          <w:szCs w:val="24"/>
        </w:rPr>
        <w:t>+304不锈钢符合板或碳钢内衬不锈钢</w:t>
      </w:r>
      <w:r>
        <w:rPr>
          <w:rFonts w:hint="eastAsia" w:asciiTheme="minorEastAsia" w:hAnsiTheme="minorEastAsia" w:eastAsiaTheme="minorEastAsia" w:cstheme="minorEastAsia"/>
          <w:sz w:val="24"/>
          <w:szCs w:val="24"/>
        </w:rPr>
        <w:t>焊接，导料斗焊接牢固可靠，壳体外壳应布置足够加强筋保证结构刚度和强度，在泥饼冲击下不得出现变形和焊缝开裂等缺陷。底部出料口与输送机接料口配作，连接处应有硅胶垫减震。</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导料斗采用分片制作，现场拼焊，焊接和切割方法执行GB50205钢结构结构施工质量验收规范的相关规定；</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导料斗需在保证强度和可靠性的基础上在合适位置设置检修人孔；</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导料斗侧面</w:t>
      </w:r>
      <w:r>
        <w:rPr>
          <w:rFonts w:asciiTheme="minorEastAsia" w:hAnsiTheme="minorEastAsia" w:eastAsiaTheme="minorEastAsia" w:cstheme="minorEastAsia"/>
          <w:sz w:val="24"/>
          <w:szCs w:val="24"/>
        </w:rPr>
        <w:t>设置</w:t>
      </w:r>
      <w:r>
        <w:rPr>
          <w:rFonts w:hint="eastAsia" w:asciiTheme="minorEastAsia" w:hAnsiTheme="minorEastAsia" w:eastAsiaTheme="minorEastAsia" w:cstheme="minorEastAsia"/>
          <w:sz w:val="24"/>
          <w:szCs w:val="24"/>
        </w:rPr>
        <w:t>若干</w:t>
      </w:r>
      <w:r>
        <w:rPr>
          <w:rFonts w:asciiTheme="minorEastAsia" w:hAnsiTheme="minorEastAsia" w:eastAsiaTheme="minorEastAsia" w:cstheme="minorEastAsia"/>
          <w:sz w:val="24"/>
          <w:szCs w:val="24"/>
        </w:rPr>
        <w:t>除臭</w:t>
      </w:r>
      <w:r>
        <w:rPr>
          <w:rFonts w:hint="eastAsia" w:asciiTheme="minorEastAsia" w:hAnsiTheme="minorEastAsia" w:eastAsiaTheme="minorEastAsia" w:cstheme="minorEastAsia"/>
          <w:sz w:val="24"/>
          <w:szCs w:val="24"/>
        </w:rPr>
        <w:t>风口</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可</w:t>
      </w:r>
      <w:r>
        <w:rPr>
          <w:rFonts w:asciiTheme="minorEastAsia" w:hAnsiTheme="minorEastAsia" w:eastAsiaTheme="minorEastAsia" w:cstheme="minorEastAsia"/>
          <w:sz w:val="24"/>
          <w:szCs w:val="24"/>
        </w:rPr>
        <w:t>对导料斗空间内臭气有效去除，不得影响落料</w:t>
      </w:r>
      <w:r>
        <w:rPr>
          <w:rFonts w:hint="eastAsia" w:asciiTheme="minorEastAsia" w:hAnsiTheme="minorEastAsia" w:eastAsiaTheme="minorEastAsia" w:cstheme="minorEastAsia"/>
          <w:sz w:val="24"/>
          <w:szCs w:val="24"/>
        </w:rPr>
        <w:t>或</w:t>
      </w:r>
      <w:r>
        <w:rPr>
          <w:rFonts w:asciiTheme="minorEastAsia" w:hAnsiTheme="minorEastAsia" w:eastAsiaTheme="minorEastAsia" w:cstheme="minorEastAsia"/>
          <w:sz w:val="24"/>
          <w:szCs w:val="24"/>
        </w:rPr>
        <w:t>由于物料堵塞风口</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详见提资图纸，供应商。</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沼渣</w:t>
      </w:r>
      <w:r>
        <w:rPr>
          <w:rFonts w:ascii="宋体" w:hAnsi="宋体"/>
          <w:bCs w:val="0"/>
          <w:sz w:val="24"/>
          <w:szCs w:val="24"/>
        </w:rPr>
        <w:t>料仓</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沼渣料仓和滑架钢结构部分设计和制造参考GBJ17 、GB/J205标准的相关规定。可满足存储物料的容积要求，保证结构强度和刚度。</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料仓侧壁采用8mm钢板，顶盖6mm钢板</w:t>
      </w:r>
      <w:r>
        <w:rPr>
          <w:rFonts w:asciiTheme="minorEastAsia" w:hAnsiTheme="minorEastAsia" w:eastAsiaTheme="minorEastAsia" w:cstheme="minorEastAsia"/>
          <w:sz w:val="24"/>
          <w:szCs w:val="24"/>
        </w:rPr>
        <w:t>，采用Q235B+304不锈钢符合板或内衬不锈钢</w:t>
      </w:r>
      <w:r>
        <w:rPr>
          <w:rFonts w:hint="eastAsia" w:asciiTheme="minorEastAsia" w:hAnsiTheme="minorEastAsia" w:eastAsiaTheme="minorEastAsia" w:cstheme="minorEastAsia"/>
          <w:sz w:val="24"/>
          <w:szCs w:val="24"/>
        </w:rPr>
        <w:t>,加强筋及结构骨架由供应商设计；采用分片制作，现场拼焊，焊接和切割方法执行GB50205钢结构结构施工质量验收规范的相关规定；</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料仓采用方形锥底结构，采用颚式阀卸料。储存的污泥仅靠重力自动下落，料仓上部设滑架推平结构保证料仓堆料</w:t>
      </w:r>
      <w:r>
        <w:rPr>
          <w:rFonts w:asciiTheme="minorEastAsia" w:hAnsiTheme="minorEastAsia" w:eastAsiaTheme="minorEastAsia" w:cstheme="minorEastAsia"/>
          <w:sz w:val="24"/>
          <w:szCs w:val="24"/>
        </w:rPr>
        <w:t>摊铺</w:t>
      </w:r>
      <w:r>
        <w:rPr>
          <w:rFonts w:hint="eastAsia" w:asciiTheme="minorEastAsia" w:hAnsiTheme="minorEastAsia" w:eastAsiaTheme="minorEastAsia" w:cstheme="minorEastAsia"/>
          <w:sz w:val="24"/>
          <w:szCs w:val="24"/>
        </w:rPr>
        <w:t>均匀，锥底斜面设置斜滑架辅助卸料破桥装置，以往复运动强制架桥无法掉落的污泥卸出；</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颚式阀和滑架驱动单元:液压缸缸体采用无缝钢管制造，具有足够的强度和刚度，足以承受液压力、负载力和意外的冲击力，并保证液压缸的密封性、运行平稳性和耐用性。所有紧固件采用高强度结构钢制造。</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超声波料位计：指示仓内料位，</w:t>
      </w:r>
      <w:r>
        <w:rPr>
          <w:rFonts w:asciiTheme="minorEastAsia" w:hAnsiTheme="minorEastAsia" w:eastAsiaTheme="minorEastAsia" w:cstheme="minorEastAsia"/>
          <w:sz w:val="24"/>
          <w:szCs w:val="24"/>
        </w:rPr>
        <w:t>甲方上位机可视料位状态；</w:t>
      </w:r>
      <w:r>
        <w:rPr>
          <w:rFonts w:hint="eastAsia" w:asciiTheme="minorEastAsia" w:hAnsiTheme="minorEastAsia" w:eastAsiaTheme="minorEastAsia" w:cstheme="minorEastAsia"/>
          <w:sz w:val="24"/>
          <w:szCs w:val="24"/>
        </w:rPr>
        <w:t>在适当的料位可控制推平滑架的启停，并在接近满仓时报警、提示输送机及压滤机卸料程序停机。（供应商设计滑架启停的料位高度）；</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料仓顶部需设计检修人孔，负压引风口。配套设置爬梯和护栏，方便人员上下操作。栏杆高度不低于1100mm，立柱采用38mm钢管。栏杆下部应设100mm踢脚板。栏杆和料仓连接可靠；</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b/>
          <w:bCs/>
          <w:sz w:val="24"/>
          <w:szCs w:val="24"/>
          <w:highlight w:val="yellow"/>
        </w:rPr>
      </w:pPr>
      <w:r>
        <w:rPr>
          <w:rFonts w:hint="eastAsia" w:asciiTheme="minorEastAsia" w:hAnsiTheme="minorEastAsia" w:eastAsiaTheme="minorEastAsia" w:cstheme="minorEastAsia"/>
          <w:b/>
          <w:bCs/>
          <w:sz w:val="24"/>
          <w:szCs w:val="24"/>
          <w:highlight w:val="yellow"/>
        </w:rPr>
        <w:t>料仓</w:t>
      </w:r>
      <w:r>
        <w:rPr>
          <w:rFonts w:asciiTheme="minorEastAsia" w:hAnsiTheme="minorEastAsia" w:eastAsiaTheme="minorEastAsia" w:cstheme="minorEastAsia"/>
          <w:b/>
          <w:bCs/>
          <w:sz w:val="24"/>
          <w:szCs w:val="24"/>
          <w:highlight w:val="yellow"/>
        </w:rPr>
        <w:t>腭式阀出口处需设计</w:t>
      </w:r>
      <w:r>
        <w:rPr>
          <w:rFonts w:hint="eastAsia" w:asciiTheme="minorEastAsia" w:hAnsiTheme="minorEastAsia" w:eastAsiaTheme="minorEastAsia" w:cstheme="minorEastAsia"/>
          <w:b/>
          <w:bCs/>
          <w:sz w:val="24"/>
          <w:szCs w:val="24"/>
          <w:highlight w:val="yellow"/>
        </w:rPr>
        <w:t>接液</w:t>
      </w:r>
      <w:r>
        <w:rPr>
          <w:rFonts w:asciiTheme="minorEastAsia" w:hAnsiTheme="minorEastAsia" w:eastAsiaTheme="minorEastAsia" w:cstheme="minorEastAsia"/>
          <w:b/>
          <w:bCs/>
          <w:sz w:val="24"/>
          <w:szCs w:val="24"/>
          <w:highlight w:val="yellow"/>
        </w:rPr>
        <w:t>装置或者水密结构，防止沼渣物料发酵产生的水</w:t>
      </w:r>
      <w:r>
        <w:rPr>
          <w:rFonts w:hint="eastAsia" w:asciiTheme="minorEastAsia" w:hAnsiTheme="minorEastAsia" w:eastAsiaTheme="minorEastAsia" w:cstheme="minorEastAsia"/>
          <w:b/>
          <w:bCs/>
          <w:sz w:val="24"/>
          <w:szCs w:val="24"/>
          <w:highlight w:val="yellow"/>
        </w:rPr>
        <w:t>分</w:t>
      </w:r>
      <w:r>
        <w:rPr>
          <w:rFonts w:asciiTheme="minorEastAsia" w:hAnsiTheme="minorEastAsia" w:eastAsiaTheme="minorEastAsia" w:cstheme="minorEastAsia"/>
          <w:b/>
          <w:bCs/>
          <w:sz w:val="24"/>
          <w:szCs w:val="24"/>
          <w:highlight w:val="yellow"/>
        </w:rPr>
        <w:t>导致滴漏情况发生，</w:t>
      </w:r>
      <w:r>
        <w:rPr>
          <w:rFonts w:hint="eastAsia" w:asciiTheme="minorEastAsia" w:hAnsiTheme="minorEastAsia" w:eastAsiaTheme="minorEastAsia" w:cstheme="minorEastAsia"/>
          <w:b/>
          <w:bCs/>
          <w:sz w:val="24"/>
          <w:szCs w:val="24"/>
          <w:highlight w:val="yellow"/>
        </w:rPr>
        <w:t>投标</w:t>
      </w:r>
      <w:r>
        <w:rPr>
          <w:rFonts w:asciiTheme="minorEastAsia" w:hAnsiTheme="minorEastAsia" w:eastAsiaTheme="minorEastAsia" w:cstheme="minorEastAsia"/>
          <w:b/>
          <w:bCs/>
          <w:sz w:val="24"/>
          <w:szCs w:val="24"/>
          <w:highlight w:val="yellow"/>
        </w:rPr>
        <w:t>方案需要与</w:t>
      </w:r>
      <w:r>
        <w:rPr>
          <w:rFonts w:hint="eastAsia" w:asciiTheme="minorEastAsia" w:hAnsiTheme="minorEastAsia" w:eastAsiaTheme="minorEastAsia" w:cstheme="minorEastAsia"/>
          <w:b/>
          <w:bCs/>
          <w:sz w:val="24"/>
          <w:szCs w:val="24"/>
          <w:highlight w:val="yellow"/>
        </w:rPr>
        <w:t>甲方</w:t>
      </w:r>
      <w:r>
        <w:rPr>
          <w:rFonts w:asciiTheme="minorEastAsia" w:hAnsiTheme="minorEastAsia" w:eastAsiaTheme="minorEastAsia" w:cstheme="minorEastAsia"/>
          <w:b/>
          <w:bCs/>
          <w:sz w:val="24"/>
          <w:szCs w:val="24"/>
          <w:highlight w:val="yellow"/>
        </w:rPr>
        <w:t>技术充分沟通确认。</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液压</w:t>
      </w:r>
      <w:r>
        <w:rPr>
          <w:rFonts w:ascii="宋体" w:hAnsi="宋体"/>
          <w:bCs w:val="0"/>
          <w:sz w:val="24"/>
          <w:szCs w:val="24"/>
        </w:rPr>
        <w:t>系统</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液压管路系统</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设计制造符合ISO4413标准。额定液压不大于</w:t>
      </w:r>
      <w:r>
        <w:rPr>
          <w:rFonts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t>Mpa.液压装置的油泵、油箱、油滤、各类控制阀、各类指示仪表和配电系统均为一成套装置</w:t>
      </w:r>
      <w:r>
        <w:rPr>
          <w:rFonts w:asciiTheme="minorEastAsia" w:hAnsiTheme="minorEastAsia" w:eastAsiaTheme="minorEastAsia" w:cstheme="minorEastAsia"/>
          <w:sz w:val="24"/>
          <w:szCs w:val="24"/>
        </w:rPr>
        <w:t>。带</w:t>
      </w:r>
      <w:r>
        <w:rPr>
          <w:rFonts w:hint="eastAsia" w:asciiTheme="minorEastAsia" w:hAnsiTheme="minorEastAsia" w:eastAsiaTheme="minorEastAsia" w:cstheme="minorEastAsia"/>
          <w:sz w:val="24"/>
          <w:szCs w:val="24"/>
        </w:rPr>
        <w:t>可靠的过载保护回路，在任何工况条件下均能安全、有效和可靠运行，不会使液压装置收到损坏</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清洁度：液压系统清洁度等级</w:t>
      </w:r>
      <w:r>
        <w:rPr>
          <w:rFonts w:hint="eastAsia" w:asciiTheme="minorEastAsia" w:hAnsiTheme="minorEastAsia" w:eastAsiaTheme="minorEastAsia" w:cstheme="minorEastAsia"/>
          <w:sz w:val="24"/>
          <w:szCs w:val="24"/>
        </w:rPr>
        <w:t>不高于</w:t>
      </w:r>
      <w:r>
        <w:rPr>
          <w:rFonts w:asciiTheme="minorEastAsia" w:hAnsiTheme="minorEastAsia" w:eastAsiaTheme="minorEastAsia" w:cstheme="minorEastAsia"/>
          <w:sz w:val="24"/>
          <w:szCs w:val="24"/>
        </w:rPr>
        <w:t xml:space="preserve">NAS1638 </w:t>
      </w:r>
      <w:r>
        <w:rPr>
          <w:rFonts w:hint="eastAsia" w:asciiTheme="minorEastAsia" w:hAnsiTheme="minorEastAsia" w:eastAsiaTheme="minorEastAsia" w:cstheme="minorEastAsia"/>
          <w:sz w:val="24"/>
          <w:szCs w:val="24"/>
        </w:rPr>
        <w:t>规定的</w:t>
      </w: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级</w:t>
      </w:r>
      <w:r>
        <w:rPr>
          <w:rFonts w:asciiTheme="minorEastAsia" w:hAnsiTheme="minorEastAsia" w:eastAsiaTheme="minorEastAsia" w:cstheme="minorEastAsia"/>
          <w:sz w:val="24"/>
          <w:szCs w:val="24"/>
        </w:rPr>
        <w:t>；油泵吸口及回油均要安装过滤器，回油过滤器带堵塞发讯报警装置，压力损失≤0.35Mpa；</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油箱内表面的处理可以采用酸洗后磷化、喷丸或喷砂后喷镀等化学稳定性和物理稳定性优异的方法，不允许采用涂防锈耐油漆的方法处理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油箱外表面平整光滑</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外观涂装无损伤</w:t>
      </w:r>
      <w:r>
        <w:rPr>
          <w:rFonts w:asciiTheme="minorEastAsia" w:hAnsiTheme="minorEastAsia" w:eastAsiaTheme="minorEastAsia" w:cstheme="minorEastAsia"/>
          <w:sz w:val="24"/>
          <w:szCs w:val="24"/>
        </w:rPr>
        <w:t>；油箱地面采用斜面结构，维护清理时，方便排油；</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液压站配置</w:t>
      </w:r>
      <w:r>
        <w:rPr>
          <w:rFonts w:hint="eastAsia" w:asciiTheme="minorEastAsia" w:hAnsiTheme="minorEastAsia" w:eastAsiaTheme="minorEastAsia" w:cstheme="minorEastAsia"/>
          <w:sz w:val="24"/>
          <w:szCs w:val="24"/>
        </w:rPr>
        <w:t>液位计和温度计，便于观察液位和油温</w:t>
      </w:r>
      <w:r>
        <w:rPr>
          <w:rFonts w:asciiTheme="minorEastAsia" w:hAnsiTheme="minorEastAsia" w:eastAsiaTheme="minorEastAsia" w:cstheme="minorEastAsia"/>
          <w:sz w:val="24"/>
          <w:szCs w:val="24"/>
        </w:rPr>
        <w:t>，液位控制继电器，带有高低液位报警；</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集成块采用叠加板式阀件结构，</w:t>
      </w:r>
      <w:r>
        <w:rPr>
          <w:rFonts w:hint="eastAsia" w:asciiTheme="minorEastAsia" w:hAnsiTheme="minorEastAsia" w:eastAsiaTheme="minorEastAsia" w:cstheme="minorEastAsia"/>
          <w:sz w:val="24"/>
          <w:szCs w:val="24"/>
        </w:rPr>
        <w:t>集成油路块上</w:t>
      </w:r>
      <w:r>
        <w:rPr>
          <w:rFonts w:asciiTheme="minorEastAsia" w:hAnsiTheme="minorEastAsia" w:eastAsiaTheme="minorEastAsia" w:cstheme="minorEastAsia"/>
          <w:sz w:val="24"/>
          <w:szCs w:val="24"/>
        </w:rPr>
        <w:t>外部接管</w:t>
      </w:r>
      <w:r>
        <w:rPr>
          <w:rFonts w:hint="eastAsia" w:asciiTheme="minorEastAsia" w:hAnsiTheme="minorEastAsia" w:eastAsiaTheme="minorEastAsia" w:cstheme="minorEastAsia"/>
          <w:sz w:val="24"/>
          <w:szCs w:val="24"/>
        </w:rPr>
        <w:t>油口</w:t>
      </w:r>
      <w:r>
        <w:rPr>
          <w:rFonts w:asciiTheme="minorEastAsia" w:hAnsiTheme="minorEastAsia" w:eastAsiaTheme="minorEastAsia" w:cstheme="minorEastAsia"/>
          <w:sz w:val="24"/>
          <w:szCs w:val="24"/>
        </w:rPr>
        <w:t>及测压点</w:t>
      </w:r>
      <w:r>
        <w:rPr>
          <w:rFonts w:hint="eastAsia" w:asciiTheme="minorEastAsia" w:hAnsiTheme="minorEastAsia" w:eastAsiaTheme="minorEastAsia" w:cstheme="minorEastAsia"/>
          <w:sz w:val="24"/>
          <w:szCs w:val="24"/>
        </w:rPr>
        <w:t>应</w:t>
      </w:r>
      <w:r>
        <w:rPr>
          <w:rFonts w:asciiTheme="minorEastAsia" w:hAnsiTheme="minorEastAsia" w:eastAsiaTheme="minorEastAsia" w:cstheme="minorEastAsia"/>
          <w:sz w:val="24"/>
          <w:szCs w:val="24"/>
        </w:rPr>
        <w:t>打上</w:t>
      </w:r>
      <w:r>
        <w:rPr>
          <w:rFonts w:hint="eastAsia" w:asciiTheme="minorEastAsia" w:hAnsiTheme="minorEastAsia" w:eastAsiaTheme="minorEastAsia" w:cstheme="minorEastAsia"/>
          <w:sz w:val="24"/>
          <w:szCs w:val="24"/>
        </w:rPr>
        <w:t>相应</w:t>
      </w:r>
      <w:r>
        <w:rPr>
          <w:rFonts w:asciiTheme="minorEastAsia" w:hAnsiTheme="minorEastAsia" w:eastAsiaTheme="minorEastAsia" w:cstheme="minorEastAsia"/>
          <w:sz w:val="24"/>
          <w:szCs w:val="24"/>
        </w:rPr>
        <w:t>钢印，及</w:t>
      </w:r>
      <w:r>
        <w:rPr>
          <w:rFonts w:hint="eastAsia" w:asciiTheme="minorEastAsia" w:hAnsiTheme="minorEastAsia" w:eastAsiaTheme="minorEastAsia" w:cstheme="minorEastAsia"/>
          <w:sz w:val="24"/>
          <w:szCs w:val="24"/>
        </w:rPr>
        <w:t>接线标识</w:t>
      </w:r>
      <w:r>
        <w:rPr>
          <w:rFonts w:asciiTheme="minorEastAsia" w:hAnsiTheme="minorEastAsia" w:eastAsiaTheme="minorEastAsia" w:cstheme="minorEastAsia"/>
          <w:sz w:val="24"/>
          <w:szCs w:val="24"/>
        </w:rPr>
        <w:t>要与原理图一致，对应有液压锁的回路，电磁换向阀应采用Y型中位方式，</w:t>
      </w:r>
      <w:r>
        <w:rPr>
          <w:rFonts w:hint="eastAsia" w:asciiTheme="minorEastAsia" w:hAnsiTheme="minorEastAsia" w:eastAsiaTheme="minorEastAsia" w:cstheme="minorEastAsia"/>
          <w:sz w:val="24"/>
          <w:szCs w:val="24"/>
        </w:rPr>
        <w:t>所有电磁阀采用</w:t>
      </w:r>
      <w:r>
        <w:rPr>
          <w:rFonts w:asciiTheme="minorEastAsia" w:hAnsiTheme="minorEastAsia" w:eastAsiaTheme="minorEastAsia" w:cstheme="minorEastAsia"/>
          <w:sz w:val="24"/>
          <w:szCs w:val="24"/>
        </w:rPr>
        <w:t>DC24V</w:t>
      </w:r>
      <w:r>
        <w:rPr>
          <w:rFonts w:hint="eastAsia" w:asciiTheme="minorEastAsia" w:hAnsiTheme="minorEastAsia" w:eastAsiaTheme="minorEastAsia" w:cstheme="minorEastAsia"/>
          <w:sz w:val="24"/>
          <w:szCs w:val="24"/>
        </w:rPr>
        <w:t>电源，电磁阀插头采用带灯指示，接线端具备防水防尘密封</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液压管、管道接头均为螺纹连接，内壁清洁光滑</w:t>
      </w:r>
      <w:r>
        <w:rPr>
          <w:rFonts w:asciiTheme="minorEastAsia" w:hAnsiTheme="minorEastAsia" w:eastAsiaTheme="minorEastAsia" w:cstheme="minorEastAsia"/>
          <w:sz w:val="24"/>
          <w:szCs w:val="24"/>
        </w:rPr>
        <w:t>，采用卡套式24°锥密封接头或焊接式管接头，焊接方式采用氩弧焊</w:t>
      </w:r>
      <w:r>
        <w:rPr>
          <w:rFonts w:hint="eastAsia" w:asciiTheme="minorEastAsia" w:hAnsiTheme="minorEastAsia" w:eastAsiaTheme="minorEastAsia" w:cstheme="minorEastAsia"/>
          <w:sz w:val="24"/>
          <w:szCs w:val="24"/>
        </w:rPr>
        <w:t>。管道可沿钢架和料仓侧壁铺设</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管路和电缆布置要规整，美观，电缆要布置线槽；</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液压油</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具有较好的抗磨特性和粘度，油料污染等级不大于ISO4406的1</w:t>
      </w:r>
      <w:r>
        <w:rPr>
          <w:rFonts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号</w:t>
      </w:r>
      <w:r>
        <w:rPr>
          <w:rFonts w:asciiTheme="minorEastAsia" w:hAnsiTheme="minorEastAsia" w:eastAsiaTheme="minorEastAsia" w:cstheme="minorEastAsia"/>
          <w:sz w:val="24"/>
          <w:szCs w:val="24"/>
        </w:rPr>
        <w:t>，选择长城卓力46#L-HM抗磨液压油（高压高清）；</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性能测试：</w:t>
      </w:r>
      <w:r>
        <w:rPr>
          <w:rFonts w:hint="eastAsia" w:asciiTheme="minorEastAsia" w:hAnsiTheme="minorEastAsia" w:eastAsiaTheme="minorEastAsia" w:cstheme="minorEastAsia"/>
          <w:sz w:val="24"/>
          <w:szCs w:val="24"/>
        </w:rPr>
        <w:t>泵站的性能试验项目、试验方法及试验要求应符合JB/T6105-92中的要求</w:t>
      </w:r>
      <w:r>
        <w:rPr>
          <w:rFonts w:asciiTheme="minorEastAsia" w:hAnsiTheme="minorEastAsia" w:eastAsiaTheme="minorEastAsia" w:cstheme="minorEastAsia"/>
          <w:sz w:val="24"/>
          <w:szCs w:val="24"/>
        </w:rPr>
        <w:t>；出厂前需进行试机测试，</w:t>
      </w:r>
      <w:r>
        <w:rPr>
          <w:rFonts w:hint="eastAsia" w:asciiTheme="minorEastAsia" w:hAnsiTheme="minorEastAsia" w:eastAsiaTheme="minorEastAsia" w:cstheme="minorEastAsia"/>
          <w:sz w:val="24"/>
          <w:szCs w:val="24"/>
        </w:rPr>
        <w:t>不得泄漏</w:t>
      </w:r>
      <w:r>
        <w:rPr>
          <w:rFonts w:asciiTheme="minorEastAsia" w:hAnsiTheme="minorEastAsia" w:eastAsiaTheme="minorEastAsia" w:cstheme="minorEastAsia"/>
          <w:sz w:val="24"/>
          <w:szCs w:val="24"/>
        </w:rPr>
        <w:t>或渗油</w:t>
      </w:r>
      <w:r>
        <w:rPr>
          <w:rFonts w:hint="eastAsia" w:asciiTheme="minorEastAsia" w:hAnsiTheme="minorEastAsia" w:eastAsiaTheme="minorEastAsia" w:cstheme="minorEastAsia"/>
          <w:sz w:val="24"/>
          <w:szCs w:val="24"/>
        </w:rPr>
        <w:t>，动密封处的密封件使用寿命大于8000小时</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元件品牌如下表：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08"/>
        <w:gridCol w:w="2802"/>
        <w:gridCol w:w="3329"/>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8" w:hRule="atLeast"/>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403" w:lineRule="exact"/>
              <w:ind w:left="80"/>
              <w:jc w:val="center"/>
              <w:rPr>
                <w:sz w:val="24"/>
                <w:szCs w:val="24"/>
              </w:rPr>
            </w:pPr>
            <w:r>
              <w:rPr>
                <w:rFonts w:hint="eastAsia" w:cs="宋体"/>
                <w:sz w:val="24"/>
                <w:szCs w:val="24"/>
                <w:lang w:bidi="ar"/>
              </w:rPr>
              <w:t>液压配件品牌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sz w:val="24"/>
                <w:szCs w:val="24"/>
              </w:rPr>
            </w:pPr>
            <w:r>
              <w:rPr>
                <w:rFonts w:hint="eastAsia" w:ascii="宋体" w:hAnsi="宋体" w:cs="宋体"/>
                <w:color w:val="000000"/>
                <w:sz w:val="24"/>
                <w:szCs w:val="24"/>
                <w:lang w:bidi="ar"/>
              </w:rPr>
              <w:t>序号</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sz w:val="24"/>
                <w:szCs w:val="24"/>
              </w:rPr>
            </w:pPr>
            <w:r>
              <w:rPr>
                <w:rFonts w:hint="eastAsia" w:ascii="宋体" w:hAnsi="宋体" w:cs="宋体"/>
                <w:color w:val="000000"/>
                <w:sz w:val="24"/>
                <w:szCs w:val="24"/>
                <w:lang w:bidi="ar"/>
              </w:rPr>
              <w:t>名称</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403" w:lineRule="exact"/>
              <w:ind w:left="80"/>
              <w:jc w:val="center"/>
              <w:rPr>
                <w:sz w:val="24"/>
                <w:szCs w:val="24"/>
              </w:rPr>
            </w:pPr>
            <w:r>
              <w:rPr>
                <w:rFonts w:hint="eastAsia" w:ascii="宋体" w:hAnsi="宋体" w:cs="宋体"/>
                <w:color w:val="000000"/>
                <w:sz w:val="24"/>
                <w:szCs w:val="24"/>
                <w:lang w:bidi="ar"/>
              </w:rPr>
              <w:t>品牌</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403" w:lineRule="exact"/>
              <w:ind w:left="80"/>
              <w:jc w:val="center"/>
              <w:rPr>
                <w:rFonts w:hint="eastAsia" w:ascii="宋体" w:hAnsi="宋体" w:cs="宋体"/>
                <w:color w:val="000000"/>
                <w:sz w:val="24"/>
                <w:szCs w:val="24"/>
              </w:rPr>
            </w:pPr>
            <w:r>
              <w:rPr>
                <w:rFonts w:hint="eastAsia" w:ascii="宋体" w:hAnsi="宋体" w:cs="宋体"/>
                <w:color w:val="000000"/>
                <w:sz w:val="24"/>
                <w:szCs w:val="24"/>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80"/>
              <w:jc w:val="center"/>
              <w:rPr>
                <w:sz w:val="24"/>
                <w:szCs w:val="24"/>
              </w:rPr>
            </w:pPr>
            <w:r>
              <w:rPr>
                <w:rFonts w:hint="eastAsia" w:ascii="宋体" w:hAnsi="宋体" w:cs="宋体"/>
                <w:color w:val="000000"/>
                <w:sz w:val="24"/>
                <w:szCs w:val="24"/>
                <w:lang w:bidi="ar"/>
              </w:rPr>
              <w:t>油泵</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60"/>
              <w:jc w:val="center"/>
              <w:rPr>
                <w:sz w:val="24"/>
                <w:szCs w:val="24"/>
              </w:rPr>
            </w:pPr>
            <w:r>
              <w:rPr>
                <w:rFonts w:hint="eastAsia" w:ascii="宋体" w:hAnsi="宋体" w:cs="宋体"/>
                <w:color w:val="000000"/>
                <w:sz w:val="24"/>
                <w:szCs w:val="24"/>
                <w:lang w:bidi="ar"/>
              </w:rPr>
              <w:t>台湾油研</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6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2</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电机</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皖南、东莞、湘潭</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5"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3</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阀件</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60"/>
              <w:jc w:val="center"/>
              <w:rPr>
                <w:rFonts w:hint="eastAsia" w:ascii="宋体" w:hAnsi="宋体" w:cs="宋体"/>
                <w:color w:val="000000"/>
                <w:sz w:val="24"/>
                <w:szCs w:val="24"/>
              </w:rPr>
            </w:pPr>
            <w:r>
              <w:rPr>
                <w:rFonts w:hint="eastAsia" w:ascii="宋体" w:hAnsi="宋体" w:cs="宋体"/>
                <w:color w:val="000000"/>
                <w:sz w:val="24"/>
                <w:szCs w:val="24"/>
                <w:lang w:bidi="ar"/>
              </w:rPr>
              <w:t>北京华德、台湾油研</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6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4</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过滤器</w:t>
            </w:r>
            <w:r>
              <w:rPr>
                <w:rFonts w:ascii="宋体" w:hAnsi="宋体" w:cs="宋体"/>
                <w:color w:val="000000"/>
                <w:sz w:val="24"/>
                <w:szCs w:val="24"/>
                <w:lang w:bidi="ar"/>
              </w:rPr>
              <w:t>、液位控制继电器</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黎明液压</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10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5</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其他配件</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国产优质品牌</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jc w:val="center"/>
              <w:rPr>
                <w:rFonts w:hint="eastAsia" w:ascii="宋体" w:hAnsi="宋体" w:cs="宋体"/>
                <w:color w:val="000000"/>
                <w:sz w:val="24"/>
                <w:szCs w:val="24"/>
              </w:rPr>
            </w:pPr>
          </w:p>
        </w:tc>
      </w:tr>
    </w:tbl>
    <w:p>
      <w:pPr>
        <w:spacing w:before="20" w:line="380" w:lineRule="exact"/>
        <w:rPr>
          <w:color w:val="000000"/>
          <w:sz w:val="24"/>
          <w:szCs w:val="24"/>
        </w:rPr>
      </w:pPr>
      <w:r>
        <w:rPr>
          <w:rFonts w:hint="eastAsia" w:cs="宋体"/>
          <w:color w:val="000000"/>
          <w:sz w:val="24"/>
          <w:szCs w:val="24"/>
          <w:lang w:bidi="ar"/>
        </w:rPr>
        <w:t>注：</w:t>
      </w:r>
    </w:p>
    <w:p>
      <w:pPr>
        <w:spacing w:before="20" w:line="380" w:lineRule="exact"/>
        <w:rPr>
          <w:sz w:val="24"/>
          <w:szCs w:val="24"/>
        </w:rPr>
      </w:pPr>
      <w:r>
        <w:rPr>
          <w:rFonts w:hint="eastAsia" w:cs="宋体"/>
          <w:color w:val="000000"/>
          <w:sz w:val="24"/>
          <w:szCs w:val="24"/>
          <w:lang w:bidi="ar"/>
        </w:rPr>
        <w:t>（</w:t>
      </w:r>
      <w:r>
        <w:rPr>
          <w:color w:val="000000"/>
          <w:sz w:val="24"/>
          <w:szCs w:val="24"/>
          <w:lang w:bidi="ar"/>
        </w:rPr>
        <w:t>1</w:t>
      </w:r>
      <w:r>
        <w:rPr>
          <w:rFonts w:hint="eastAsia" w:cs="宋体"/>
          <w:color w:val="000000"/>
          <w:sz w:val="24"/>
          <w:szCs w:val="24"/>
          <w:lang w:bidi="ar"/>
        </w:rPr>
        <w:t>）为方便以后的维护、更换，所选品牌种类应尽可能少。</w:t>
      </w:r>
    </w:p>
    <w:p>
      <w:pPr>
        <w:spacing w:line="380" w:lineRule="exact"/>
        <w:rPr>
          <w:color w:val="000000"/>
          <w:sz w:val="24"/>
          <w:szCs w:val="24"/>
        </w:rPr>
      </w:pPr>
      <w:r>
        <w:rPr>
          <w:rFonts w:hint="eastAsia" w:cs="宋体"/>
          <w:color w:val="000000"/>
          <w:sz w:val="24"/>
          <w:szCs w:val="24"/>
          <w:lang w:bidi="ar"/>
        </w:rPr>
        <w:t>（</w:t>
      </w:r>
      <w:r>
        <w:rPr>
          <w:color w:val="000000"/>
          <w:sz w:val="24"/>
          <w:szCs w:val="24"/>
          <w:lang w:bidi="ar"/>
        </w:rPr>
        <w:t>2</w:t>
      </w:r>
      <w:r>
        <w:rPr>
          <w:rFonts w:hint="eastAsia" w:cs="宋体"/>
          <w:color w:val="000000"/>
          <w:sz w:val="24"/>
          <w:szCs w:val="24"/>
          <w:lang w:bidi="ar"/>
        </w:rPr>
        <w:t>）未要求的辅件可以选用中国优质品牌。</w:t>
      </w:r>
    </w:p>
    <w:p>
      <w:pPr>
        <w:spacing w:after="140" w:line="380" w:lineRule="exact"/>
      </w:pPr>
      <w:r>
        <w:rPr>
          <w:rFonts w:hint="eastAsia" w:cs="宋体"/>
          <w:color w:val="000000"/>
          <w:sz w:val="24"/>
          <w:szCs w:val="24"/>
          <w:lang w:bidi="ar"/>
        </w:rPr>
        <w:t>（</w:t>
      </w:r>
      <w:r>
        <w:rPr>
          <w:color w:val="000000"/>
          <w:sz w:val="24"/>
          <w:szCs w:val="24"/>
          <w:lang w:bidi="ar"/>
        </w:rPr>
        <w:t>3</w:t>
      </w:r>
      <w:r>
        <w:rPr>
          <w:rFonts w:hint="eastAsia" w:cs="宋体"/>
          <w:color w:val="000000"/>
          <w:sz w:val="24"/>
          <w:szCs w:val="24"/>
          <w:lang w:bidi="ar"/>
        </w:rPr>
        <w:t>）如有品牌代用应不低于上述品牌为原则，并需经甲方同意。</w:t>
      </w:r>
    </w:p>
    <w:p>
      <w:pPr>
        <w:pStyle w:val="5"/>
        <w:numPr>
          <w:ilvl w:val="3"/>
          <w:numId w:val="10"/>
        </w:numPr>
        <w:spacing w:before="0" w:after="0" w:line="360" w:lineRule="auto"/>
        <w:ind w:left="0" w:firstLine="425" w:firstLineChars="177"/>
      </w:pPr>
      <w:r>
        <w:rPr>
          <w:rFonts w:ascii="宋体" w:hAnsi="宋体"/>
          <w:bCs w:val="0"/>
          <w:sz w:val="24"/>
          <w:szCs w:val="24"/>
        </w:rPr>
        <w:t>平台爬梯及护栏</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钢平台、爬梯及护栏设计制造符合以下标准及规范要求：</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《钢结构设计规范》</w:t>
      </w:r>
      <w:r>
        <w:rPr>
          <w:rFonts w:asciiTheme="minorEastAsia" w:hAnsiTheme="minorEastAsia" w:eastAsiaTheme="minorEastAsia" w:cstheme="minorEastAsia"/>
          <w:sz w:val="24"/>
          <w:szCs w:val="24"/>
        </w:rPr>
        <w:t xml:space="preserve"> GB50017-2017</w:t>
      </w:r>
    </w:p>
    <w:p>
      <w:p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《固定式钢梯及平台安全要求</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第</w:t>
      </w:r>
      <w:r>
        <w:rPr>
          <w:rFonts w:asciiTheme="minorEastAsia" w:hAnsiTheme="minorEastAsia" w:eastAsiaTheme="minorEastAsia" w:cstheme="minorEastAsia"/>
          <w:sz w:val="24"/>
          <w:szCs w:val="24"/>
        </w:rPr>
        <w:t xml:space="preserve">2部分 </w:t>
      </w:r>
      <w:r>
        <w:rPr>
          <w:rFonts w:hint="eastAsia" w:asciiTheme="minorEastAsia" w:hAnsiTheme="minorEastAsia" w:eastAsiaTheme="minorEastAsia" w:cstheme="minorEastAsia"/>
          <w:sz w:val="24"/>
          <w:szCs w:val="24"/>
        </w:rPr>
        <w:t>钢斜梯》</w:t>
      </w:r>
      <w:r>
        <w:rPr>
          <w:rFonts w:asciiTheme="minorEastAsia" w:hAnsiTheme="minorEastAsia" w:eastAsiaTheme="minorEastAsia" w:cstheme="minorEastAsia"/>
          <w:sz w:val="24"/>
          <w:szCs w:val="24"/>
        </w:rPr>
        <w:t xml:space="preserve">GB4053.2-2009  </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《固定式钢梯及平台安全要求</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第</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部分：工业防护栏杆及钢平台》</w:t>
      </w:r>
      <w:r>
        <w:rPr>
          <w:rFonts w:asciiTheme="minorEastAsia" w:hAnsiTheme="minorEastAsia" w:eastAsiaTheme="minorEastAsia" w:cstheme="minorEastAsia"/>
          <w:sz w:val="24"/>
          <w:szCs w:val="24"/>
        </w:rPr>
        <w:t>GB4053.3-2009</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其他相关国家标准和规范。</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钢斜梯：</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钢斜梯倾角应在30°～75°范围内，优选45°，斜梯内净宽不小于700mm；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斜梯踏步采用镀锌钢格栅（</w:t>
      </w:r>
      <w:r>
        <w:rPr>
          <w:rFonts w:hint="eastAsia" w:asciiTheme="minorEastAsia" w:hAnsiTheme="minorEastAsia" w:eastAsiaTheme="minorEastAsia" w:cstheme="minorEastAsia"/>
          <w:sz w:val="24"/>
          <w:szCs w:val="24"/>
        </w:rPr>
        <w:t>G323/30/100</w:t>
      </w:r>
      <w:r>
        <w:rPr>
          <w:rFonts w:asciiTheme="minorEastAsia" w:hAnsiTheme="minorEastAsia" w:eastAsiaTheme="minorEastAsia" w:cstheme="minorEastAsia"/>
          <w:sz w:val="24"/>
          <w:szCs w:val="24"/>
        </w:rPr>
        <w:t xml:space="preserve"> ），踏步高度180mm,</w:t>
      </w:r>
      <w:r>
        <w:rPr>
          <w:rFonts w:hint="eastAsia" w:asciiTheme="minorEastAsia" w:hAnsiTheme="minorEastAsia" w:eastAsiaTheme="minorEastAsia" w:cstheme="minorEastAsia"/>
          <w:sz w:val="24"/>
          <w:szCs w:val="24"/>
        </w:rPr>
        <w:t>格栅板与梯梁螺栓连接或焊接</w:t>
      </w:r>
      <w:r>
        <w:rPr>
          <w:rFonts w:asciiTheme="minorEastAsia" w:hAnsiTheme="minorEastAsia" w:eastAsiaTheme="minorEastAsia" w:cstheme="minorEastAsia"/>
          <w:sz w:val="24"/>
          <w:szCs w:val="24"/>
        </w:rPr>
        <w:t xml:space="preserve"> ;</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斜梯扶手及护栏：</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扶手及护栏高度不低于1050mm, 立柱及扶手选用钢管</w:t>
      </w:r>
      <w:r>
        <w:rPr>
          <w:rFonts w:hint="eastAsia" w:asciiTheme="minorEastAsia" w:hAnsiTheme="minorEastAsia" w:eastAsiaTheme="minorEastAsia" w:cstheme="minorEastAsia"/>
          <w:sz w:val="24"/>
          <w:szCs w:val="24"/>
        </w:rPr>
        <w:t>φ</w:t>
      </w:r>
      <w:r>
        <w:rPr>
          <w:rFonts w:asciiTheme="minorEastAsia" w:hAnsiTheme="minorEastAsia" w:eastAsiaTheme="minorEastAsia" w:cstheme="minorEastAsia"/>
          <w:sz w:val="24"/>
          <w:szCs w:val="24"/>
        </w:rPr>
        <w:t>38x2.5，立柱之间间隙隔1000mm；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中间栏杆选用钢管φ32x2.5，</w:t>
      </w:r>
      <w:r>
        <w:rPr>
          <w:rFonts w:hint="eastAsia" w:asciiTheme="minorEastAsia" w:hAnsiTheme="minorEastAsia" w:eastAsiaTheme="minorEastAsia" w:cstheme="minorEastAsia"/>
          <w:sz w:val="24"/>
          <w:szCs w:val="24"/>
        </w:rPr>
        <w:t>护栏中间栏杆间隙</w:t>
      </w:r>
      <w:r>
        <w:rPr>
          <w:rFonts w:asciiTheme="minorEastAsia" w:hAnsiTheme="minorEastAsia" w:eastAsiaTheme="minorEastAsia" w:cstheme="minorEastAsia"/>
          <w:sz w:val="24"/>
          <w:szCs w:val="24"/>
        </w:rPr>
        <w:t>350mm；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踢脚板选用</w:t>
      </w:r>
      <w:r>
        <w:rPr>
          <w:rFonts w:asciiTheme="minorEastAsia" w:hAnsiTheme="minorEastAsia" w:eastAsiaTheme="minorEastAsia" w:cstheme="minorEastAsia"/>
          <w:sz w:val="24"/>
          <w:szCs w:val="24"/>
        </w:rPr>
        <w:t>100mmx3mm的扁钢；</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管材下料要按相贯线相切下料，对接后不得有缺口缝隙。</w:t>
      </w:r>
    </w:p>
    <w:p>
      <w:pPr>
        <w:pStyle w:val="13"/>
        <w:numPr>
          <w:ilvl w:val="0"/>
          <w:numId w:val="1"/>
        </w:numPr>
        <w:jc w:val="left"/>
        <w:rPr>
          <w:sz w:val="28"/>
          <w:szCs w:val="28"/>
        </w:rPr>
      </w:pPr>
      <w:r>
        <w:rPr>
          <w:rFonts w:hint="eastAsia"/>
          <w:sz w:val="28"/>
          <w:szCs w:val="28"/>
        </w:rPr>
        <w:t>电气配置</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控柜：(尺寸2200高×800宽×600深，现场控制箱尺寸厂家自行设计)，柜体壁厚不小于2.0，控制柜柜顶安装65W排风扇。柜内电源有明显断开点，且设置总进线断路器保护，柜体结构采用碳钢喷塑。室内控制柜防护等级不低于IP</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1，控制柜需要安装铭牌，柜体颜色为银白色。</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PLC采用西门子 </w:t>
      </w:r>
      <w:r>
        <w:rPr>
          <w:rFonts w:asciiTheme="minorEastAsia" w:hAnsiTheme="minorEastAsia" w:eastAsiaTheme="minorEastAsia" w:cstheme="minorEastAsia"/>
          <w:sz w:val="24"/>
          <w:szCs w:val="24"/>
        </w:rPr>
        <w:t>S7-</w:t>
      </w: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200</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CPU1214C</w:t>
      </w:r>
      <w:r>
        <w:rPr>
          <w:rFonts w:hint="eastAsia" w:asciiTheme="minorEastAsia" w:hAnsiTheme="minorEastAsia" w:eastAsiaTheme="minorEastAsia" w:cstheme="minorEastAsia"/>
          <w:sz w:val="24"/>
          <w:szCs w:val="24"/>
        </w:rPr>
        <w:t>，上位</w:t>
      </w:r>
      <w:r>
        <w:rPr>
          <w:rFonts w:asciiTheme="minorEastAsia" w:hAnsiTheme="minorEastAsia" w:eastAsiaTheme="minorEastAsia" w:cstheme="minorEastAsia"/>
          <w:sz w:val="24"/>
          <w:szCs w:val="24"/>
        </w:rPr>
        <w:t>机通讯</w:t>
      </w:r>
      <w:r>
        <w:rPr>
          <w:rFonts w:hint="eastAsia" w:asciiTheme="minorEastAsia" w:hAnsiTheme="minorEastAsia" w:eastAsiaTheme="minorEastAsia" w:cstheme="minorEastAsia"/>
          <w:sz w:val="24"/>
          <w:szCs w:val="24"/>
        </w:rPr>
        <w:t>采用以太网通讯。变频器品牌西门子、ABB、施耐德</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低压电气品牌施耐德或者西门子。</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控制釆用三种控制，即远程手动控制、远程自动、现场控制，其上设置远程/就地转换开关、启动/停止按钮、运行指示灯、故障指示灯、急停按钮。指示灯、转换开关等采用施耐德，防护等级不低于IP54。</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资料提供：合同签署1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w:t>
      </w:r>
      <w:r>
        <w:rPr>
          <w:rFonts w:hint="eastAsia" w:asciiTheme="minorEastAsia" w:hAnsiTheme="minorEastAsia" w:eastAsiaTheme="minorEastAsia" w:cstheme="minorEastAsia"/>
          <w:sz w:val="24"/>
          <w:szCs w:val="24"/>
        </w:rPr>
        <w:t>电气原理图、工艺流程图，设备安装图、操作维护手册、PLC、上位机</w:t>
      </w:r>
      <w:r>
        <w:rPr>
          <w:rFonts w:asciiTheme="minorEastAsia" w:hAnsiTheme="minorEastAsia" w:eastAsiaTheme="minorEastAsia" w:cstheme="minorEastAsia"/>
          <w:sz w:val="24"/>
          <w:szCs w:val="24"/>
        </w:rPr>
        <w:t>控制画面</w:t>
      </w:r>
      <w:r>
        <w:rPr>
          <w:rFonts w:hint="eastAsia" w:asciiTheme="minorEastAsia" w:hAnsiTheme="minorEastAsia" w:eastAsiaTheme="minorEastAsia" w:cstheme="minorEastAsia"/>
          <w:sz w:val="24"/>
          <w:szCs w:val="24"/>
        </w:rPr>
        <w:t>。所有电气设备清单以及功率电流、电压相关参数。</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w:t>
      </w:r>
      <w:r>
        <w:rPr>
          <w:rFonts w:asciiTheme="minorEastAsia" w:hAnsiTheme="minorEastAsia" w:eastAsiaTheme="minorEastAsia" w:cstheme="minorEastAsia"/>
          <w:sz w:val="24"/>
          <w:szCs w:val="24"/>
        </w:rPr>
        <w:t>机</w:t>
      </w:r>
      <w:r>
        <w:rPr>
          <w:rFonts w:hint="eastAsia" w:asciiTheme="minorEastAsia" w:hAnsiTheme="minorEastAsia" w:eastAsiaTheme="minorEastAsia" w:cstheme="minorEastAsia"/>
          <w:sz w:val="24"/>
          <w:szCs w:val="24"/>
        </w:rPr>
        <w:t>的</w:t>
      </w:r>
      <w:r>
        <w:rPr>
          <w:rFonts w:asciiTheme="minorEastAsia" w:hAnsiTheme="minorEastAsia" w:eastAsiaTheme="minorEastAsia" w:cstheme="minorEastAsia"/>
          <w:sz w:val="24"/>
          <w:szCs w:val="24"/>
        </w:rPr>
        <w:t>控制柜由甲方负责设计及提供</w:t>
      </w:r>
      <w:r>
        <w:rPr>
          <w:rFonts w:hint="eastAsia" w:asciiTheme="minorEastAsia" w:hAnsiTheme="minorEastAsia" w:eastAsiaTheme="minorEastAsia" w:cstheme="minorEastAsia"/>
          <w:sz w:val="24"/>
          <w:szCs w:val="24"/>
        </w:rPr>
        <w:t>。</w:t>
      </w:r>
    </w:p>
    <w:p>
      <w:pPr>
        <w:pStyle w:val="13"/>
        <w:numPr>
          <w:ilvl w:val="0"/>
          <w:numId w:val="1"/>
        </w:numPr>
        <w:jc w:val="left"/>
        <w:rPr>
          <w:sz w:val="28"/>
          <w:szCs w:val="28"/>
        </w:rPr>
      </w:pPr>
      <w:r>
        <w:rPr>
          <w:rFonts w:hint="eastAsia"/>
          <w:sz w:val="28"/>
          <w:szCs w:val="28"/>
        </w:rPr>
        <w:t>设备</w:t>
      </w:r>
      <w:r>
        <w:rPr>
          <w:sz w:val="28"/>
          <w:szCs w:val="28"/>
        </w:rPr>
        <w:t>调试和测试</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所有设备均检查其外形尺寸、布置定位、运动、振动、噪音，确保运转正常。</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压滤机排渣</w:t>
      </w:r>
      <w:r>
        <w:rPr>
          <w:rFonts w:ascii="宋体" w:hAnsi="宋体" w:cs="宋体"/>
          <w:sz w:val="24"/>
        </w:rPr>
        <w:t>螺旋</w:t>
      </w:r>
      <w:r>
        <w:rPr>
          <w:rFonts w:hint="eastAsia" w:ascii="宋体" w:hAnsi="宋体" w:cs="宋体"/>
          <w:sz w:val="24"/>
        </w:rPr>
        <w:t>需空载运行2小时，测试设备运行稳定性。负载试验，测试其运行速度，电流及功率和输送能力。负载试验，与压滤机联动调试，运行24小时以上。</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沼渣料仓颚式阀和滑架系统也应进行空载试机，测试滑架运行是否可靠，颚式阀开启无卡阻，闭合顺畅紧密。负载试验参与整套系统联动调试，推平滑架运转灵活，可以顺利摊铺物料。颚式阀带料开启和闭合顺畅，可顺利卸料和闭合，闭合后无泄漏，斜滑架带料运行顺畅，可以完成顺畅的往复运动完成破桥卸料作用。</w:t>
      </w:r>
    </w:p>
    <w:p>
      <w:pPr>
        <w:pStyle w:val="13"/>
        <w:numPr>
          <w:ilvl w:val="0"/>
          <w:numId w:val="1"/>
        </w:numPr>
        <w:jc w:val="left"/>
        <w:rPr>
          <w:sz w:val="28"/>
          <w:szCs w:val="28"/>
        </w:rPr>
      </w:pPr>
      <w:r>
        <w:rPr>
          <w:rFonts w:hint="eastAsia"/>
          <w:sz w:val="28"/>
          <w:szCs w:val="28"/>
        </w:rPr>
        <w:t>设备采购供货界面责任分区表</w:t>
      </w:r>
    </w:p>
    <w:p>
      <w:pPr>
        <w:pStyle w:val="5"/>
        <w:numPr>
          <w:ilvl w:val="3"/>
          <w:numId w:val="17"/>
        </w:numPr>
        <w:spacing w:before="0" w:after="0" w:line="240" w:lineRule="atLeast"/>
        <w:ind w:left="0" w:firstLine="0"/>
        <w:rPr>
          <w:rFonts w:hint="eastAsia" w:ascii="宋体" w:hAnsi="宋体"/>
          <w:bCs w:val="0"/>
          <w:sz w:val="24"/>
          <w:szCs w:val="24"/>
        </w:rPr>
      </w:pPr>
      <w:bookmarkStart w:id="3" w:name="_Toc508783769"/>
      <w:r>
        <w:rPr>
          <w:rFonts w:hint="eastAsia" w:ascii="宋体" w:hAnsi="宋体"/>
          <w:bCs w:val="0"/>
          <w:sz w:val="24"/>
          <w:szCs w:val="24"/>
        </w:rPr>
        <w:t>土建</w:t>
      </w:r>
      <w:bookmarkEnd w:id="3"/>
    </w:p>
    <w:p>
      <w:pPr>
        <w:pStyle w:val="20"/>
        <w:spacing w:before="120" w:after="120"/>
        <w:ind w:firstLine="424" w:firstLineChars="177"/>
        <w:rPr>
          <w:rFonts w:hint="eastAsia"/>
          <w:color w:val="auto"/>
        </w:rPr>
      </w:pPr>
      <w:r>
        <w:rPr>
          <w:rFonts w:hint="eastAsia"/>
          <w:color w:val="auto"/>
        </w:rPr>
        <w:t>甲方负责完成储存车间整体厂房建设，地坪和基础及一次性预埋件，乙方提供相关设备基础提资，其中甲方厂房现有</w:t>
      </w:r>
      <w:r>
        <w:rPr>
          <w:color w:val="auto"/>
        </w:rPr>
        <w:t>的</w:t>
      </w:r>
      <w:r>
        <w:rPr>
          <w:rFonts w:hint="eastAsia"/>
          <w:color w:val="auto"/>
        </w:rPr>
        <w:t>设备相关图纸交由乙方复核。</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工艺</w:t>
      </w:r>
    </w:p>
    <w:p>
      <w:pPr>
        <w:pStyle w:val="20"/>
        <w:spacing w:beforeLines="0" w:afterLines="0"/>
        <w:ind w:firstLine="424" w:firstLineChars="177"/>
        <w:rPr>
          <w:rFonts w:hint="eastAsia" w:cs="宋体"/>
          <w:color w:val="auto"/>
        </w:rPr>
      </w:pPr>
      <w:r>
        <w:rPr>
          <w:rFonts w:hint="eastAsia"/>
          <w:color w:val="auto"/>
        </w:rPr>
        <w:t>乙方负责对沼渣输送及</w:t>
      </w:r>
      <w:r>
        <w:rPr>
          <w:color w:val="auto"/>
        </w:rPr>
        <w:t>储存系统的设备配置</w:t>
      </w:r>
      <w:r>
        <w:rPr>
          <w:rFonts w:hint="eastAsia"/>
          <w:color w:val="auto"/>
        </w:rPr>
        <w:t>，使整个沼渣输送</w:t>
      </w:r>
      <w:r>
        <w:rPr>
          <w:color w:val="auto"/>
        </w:rPr>
        <w:t>及储存</w:t>
      </w:r>
      <w:r>
        <w:rPr>
          <w:rFonts w:hint="eastAsia"/>
          <w:color w:val="auto"/>
        </w:rPr>
        <w:t>系统运</w:t>
      </w:r>
      <w:r>
        <w:rPr>
          <w:rFonts w:hint="eastAsia" w:cs="宋体"/>
          <w:color w:val="auto"/>
        </w:rPr>
        <w:t>行稳定流畅，达到设计输送能力及储存、</w:t>
      </w:r>
      <w:r>
        <w:rPr>
          <w:rFonts w:cs="宋体"/>
          <w:color w:val="auto"/>
        </w:rPr>
        <w:t>排</w:t>
      </w:r>
      <w:r>
        <w:rPr>
          <w:rFonts w:hint="eastAsia" w:cs="宋体"/>
          <w:color w:val="auto"/>
        </w:rPr>
        <w:t>料</w:t>
      </w:r>
      <w:r>
        <w:rPr>
          <w:rFonts w:cs="宋体"/>
          <w:color w:val="auto"/>
        </w:rPr>
        <w:t>能力；合同</w:t>
      </w:r>
      <w:r>
        <w:rPr>
          <w:rFonts w:hint="eastAsia" w:cs="宋体"/>
          <w:color w:val="auto"/>
        </w:rPr>
        <w:t>签约</w:t>
      </w:r>
      <w:r>
        <w:rPr>
          <w:rFonts w:cs="宋体"/>
          <w:color w:val="auto"/>
        </w:rPr>
        <w:t>后乙方到</w:t>
      </w:r>
      <w:r>
        <w:rPr>
          <w:rFonts w:hint="eastAsia" w:cs="宋体"/>
          <w:color w:val="auto"/>
        </w:rPr>
        <w:t>项目</w:t>
      </w:r>
      <w:r>
        <w:rPr>
          <w:rFonts w:cs="宋体"/>
          <w:color w:val="auto"/>
        </w:rPr>
        <w:t>现场核对</w:t>
      </w:r>
      <w:r>
        <w:rPr>
          <w:rFonts w:hint="eastAsia" w:cs="宋体"/>
          <w:color w:val="auto"/>
        </w:rPr>
        <w:t>车间</w:t>
      </w:r>
      <w:r>
        <w:rPr>
          <w:rFonts w:cs="宋体"/>
          <w:color w:val="auto"/>
        </w:rPr>
        <w:t>安装、配合尺寸，</w:t>
      </w:r>
      <w:r>
        <w:rPr>
          <w:rFonts w:hint="eastAsia" w:cs="宋体"/>
          <w:color w:val="auto"/>
        </w:rPr>
        <w:t>生产</w:t>
      </w:r>
      <w:r>
        <w:rPr>
          <w:rFonts w:cs="宋体"/>
          <w:color w:val="auto"/>
        </w:rPr>
        <w:t>尺寸</w:t>
      </w:r>
      <w:r>
        <w:rPr>
          <w:rFonts w:hint="eastAsia" w:cs="宋体"/>
          <w:color w:val="auto"/>
        </w:rPr>
        <w:t>以</w:t>
      </w:r>
      <w:r>
        <w:rPr>
          <w:rFonts w:cs="宋体"/>
          <w:color w:val="auto"/>
        </w:rPr>
        <w:t>乙方测量</w:t>
      </w:r>
      <w:r>
        <w:rPr>
          <w:rFonts w:hint="eastAsia" w:cs="宋体"/>
          <w:color w:val="auto"/>
        </w:rPr>
        <w:t>的</w:t>
      </w:r>
      <w:r>
        <w:rPr>
          <w:rFonts w:cs="宋体"/>
          <w:color w:val="auto"/>
        </w:rPr>
        <w:t>安装配合</w:t>
      </w:r>
      <w:r>
        <w:rPr>
          <w:rFonts w:hint="eastAsia" w:cs="宋体"/>
          <w:color w:val="auto"/>
        </w:rPr>
        <w:t>为</w:t>
      </w:r>
      <w:r>
        <w:rPr>
          <w:rFonts w:cs="宋体"/>
          <w:color w:val="auto"/>
        </w:rPr>
        <w:t>准</w:t>
      </w:r>
      <w:r>
        <w:rPr>
          <w:rFonts w:hint="eastAsia" w:cs="宋体"/>
          <w:color w:val="auto"/>
        </w:rPr>
        <w:t>，装配</w:t>
      </w:r>
      <w:r>
        <w:rPr>
          <w:rFonts w:cs="宋体"/>
          <w:color w:val="auto"/>
        </w:rPr>
        <w:t>满足现有厂房及设备；</w:t>
      </w:r>
    </w:p>
    <w:p>
      <w:pPr>
        <w:pStyle w:val="20"/>
        <w:spacing w:beforeLines="0" w:afterLines="0"/>
        <w:ind w:firstLine="424" w:firstLineChars="177"/>
        <w:rPr>
          <w:rFonts w:hint="eastAsia" w:cs="宋体"/>
          <w:color w:val="auto"/>
        </w:rPr>
      </w:pPr>
      <w:r>
        <w:rPr>
          <w:rFonts w:hint="eastAsia" w:cs="宋体"/>
          <w:color w:val="auto"/>
        </w:rPr>
        <w:t>乙方负责对该</w:t>
      </w:r>
      <w:r>
        <w:rPr>
          <w:rFonts w:cs="宋体"/>
          <w:color w:val="auto"/>
        </w:rPr>
        <w:t>合同</w:t>
      </w:r>
      <w:r>
        <w:rPr>
          <w:rFonts w:hint="eastAsia" w:cs="宋体"/>
          <w:color w:val="auto"/>
        </w:rPr>
        <w:t>整个沼渣输送及</w:t>
      </w:r>
      <w:r>
        <w:rPr>
          <w:rFonts w:cs="宋体"/>
          <w:color w:val="auto"/>
        </w:rPr>
        <w:t>储存</w:t>
      </w:r>
      <w:r>
        <w:rPr>
          <w:rFonts w:hint="eastAsia" w:cs="宋体"/>
          <w:color w:val="auto"/>
        </w:rPr>
        <w:t>系统安装</w:t>
      </w:r>
      <w:r>
        <w:rPr>
          <w:rFonts w:cs="宋体"/>
          <w:color w:val="auto"/>
        </w:rPr>
        <w:t>、</w:t>
      </w:r>
      <w:r>
        <w:rPr>
          <w:rFonts w:hint="eastAsia" w:cs="宋体"/>
          <w:color w:val="auto"/>
        </w:rPr>
        <w:t>调试、人员培训、现场运行指导。</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电气</w:t>
      </w:r>
    </w:p>
    <w:p>
      <w:pPr>
        <w:spacing w:line="360" w:lineRule="auto"/>
        <w:ind w:firstLine="424" w:firstLineChars="177"/>
        <w:rPr>
          <w:rFonts w:hint="eastAsia" w:ascii="宋体" w:hAnsi="宋体"/>
          <w:sz w:val="24"/>
          <w:szCs w:val="24"/>
        </w:rPr>
      </w:pPr>
      <w:r>
        <w:rPr>
          <w:rFonts w:hint="eastAsia" w:ascii="宋体" w:hAnsi="宋体"/>
          <w:sz w:val="24"/>
          <w:szCs w:val="24"/>
        </w:rPr>
        <w:t>a)甲方负责将双螺旋输送机动力电源连接至设备，乙方负责接线检查、校正及确认；</w:t>
      </w:r>
    </w:p>
    <w:p>
      <w:pPr>
        <w:pStyle w:val="20"/>
        <w:spacing w:beforeLines="0" w:afterLines="0"/>
        <w:ind w:firstLine="424" w:firstLineChars="177"/>
        <w:rPr>
          <w:rFonts w:hint="eastAsia"/>
          <w:color w:val="auto"/>
        </w:rPr>
      </w:pPr>
      <w:r>
        <w:rPr>
          <w:rFonts w:hint="eastAsia"/>
          <w:color w:val="auto"/>
        </w:rPr>
        <w:t>b)甲方</w:t>
      </w:r>
      <w:r>
        <w:rPr>
          <w:color w:val="auto"/>
        </w:rPr>
        <w:t>负责将电源连接至</w:t>
      </w:r>
      <w:r>
        <w:rPr>
          <w:rFonts w:hint="eastAsia"/>
          <w:color w:val="auto"/>
        </w:rPr>
        <w:t>料仓系统现场控制柜，乙方负责接线检查、校正及确认；</w:t>
      </w:r>
    </w:p>
    <w:p>
      <w:pPr>
        <w:pStyle w:val="20"/>
        <w:spacing w:beforeLines="0" w:afterLines="0"/>
        <w:ind w:firstLine="424" w:firstLineChars="177"/>
        <w:rPr>
          <w:rFonts w:hint="eastAsia"/>
          <w:color w:val="auto"/>
        </w:rPr>
      </w:pPr>
      <w:r>
        <w:rPr>
          <w:rFonts w:hint="eastAsia"/>
          <w:color w:val="auto"/>
        </w:rPr>
        <w:t>c)甲方负责料仓系统现场控制柜至设备端的线缆敷设，乙方负责现场控制柜和设备端的接线及校正；乙方</w:t>
      </w:r>
      <w:r>
        <w:rPr>
          <w:color w:val="auto"/>
        </w:rPr>
        <w:t>的进线柜下口</w:t>
      </w:r>
      <w:r>
        <w:rPr>
          <w:rFonts w:hint="eastAsia"/>
          <w:color w:val="auto"/>
        </w:rPr>
        <w:t>，</w:t>
      </w:r>
      <w:r>
        <w:rPr>
          <w:color w:val="auto"/>
        </w:rPr>
        <w:t>并将</w:t>
      </w:r>
      <w:r>
        <w:rPr>
          <w:rFonts w:hint="eastAsia"/>
          <w:color w:val="auto"/>
        </w:rPr>
        <w:t>电源</w:t>
      </w:r>
      <w:r>
        <w:rPr>
          <w:color w:val="auto"/>
        </w:rPr>
        <w:t>线接入乙方电柜</w:t>
      </w:r>
      <w:r>
        <w:rPr>
          <w:rFonts w:hint="eastAsia"/>
          <w:color w:val="auto"/>
        </w:rPr>
        <w:t>。</w:t>
      </w:r>
    </w:p>
    <w:p>
      <w:pPr>
        <w:pStyle w:val="20"/>
        <w:spacing w:beforeLines="0" w:afterLines="0"/>
        <w:ind w:firstLine="424" w:firstLineChars="177"/>
        <w:rPr>
          <w:rFonts w:hint="eastAsia"/>
          <w:color w:val="auto"/>
        </w:rPr>
      </w:pPr>
      <w:r>
        <w:rPr>
          <w:rFonts w:hint="eastAsia"/>
          <w:color w:val="auto"/>
        </w:rPr>
        <w:t>d)甲方负责</w:t>
      </w:r>
      <w:r>
        <w:rPr>
          <w:color w:val="auto"/>
        </w:rPr>
        <w:t>设备</w:t>
      </w:r>
      <w:r>
        <w:rPr>
          <w:rFonts w:hint="eastAsia"/>
          <w:color w:val="auto"/>
        </w:rPr>
        <w:t>与控制柜之间</w:t>
      </w:r>
      <w:r>
        <w:rPr>
          <w:color w:val="auto"/>
        </w:rPr>
        <w:t>电缆、</w:t>
      </w:r>
      <w:r>
        <w:rPr>
          <w:rFonts w:hint="eastAsia"/>
          <w:color w:val="auto"/>
        </w:rPr>
        <w:t>线管</w:t>
      </w:r>
      <w:r>
        <w:rPr>
          <w:color w:val="auto"/>
        </w:rPr>
        <w:t>及桥架</w:t>
      </w:r>
      <w:r>
        <w:rPr>
          <w:rFonts w:hint="eastAsia"/>
          <w:color w:val="auto"/>
        </w:rPr>
        <w:t>、</w:t>
      </w:r>
      <w:r>
        <w:rPr>
          <w:color w:val="auto"/>
        </w:rPr>
        <w:t>安装</w:t>
      </w:r>
      <w:r>
        <w:rPr>
          <w:rFonts w:hint="eastAsia"/>
          <w:color w:val="auto"/>
        </w:rPr>
        <w:t>施工。</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公用条件</w:t>
      </w:r>
    </w:p>
    <w:p>
      <w:pPr>
        <w:pStyle w:val="20"/>
        <w:spacing w:before="120" w:after="120"/>
        <w:ind w:left="420"/>
        <w:rPr>
          <w:rFonts w:hint="eastAsia"/>
          <w:color w:val="auto"/>
        </w:rPr>
      </w:pPr>
      <w:r>
        <w:rPr>
          <w:rFonts w:hint="eastAsia"/>
          <w:color w:val="auto"/>
        </w:rPr>
        <w:t>甲方</w:t>
      </w:r>
      <w:r>
        <w:rPr>
          <w:color w:val="auto"/>
        </w:rPr>
        <w:t>负责提供调试</w:t>
      </w:r>
      <w:r>
        <w:rPr>
          <w:rFonts w:hint="eastAsia"/>
          <w:color w:val="auto"/>
        </w:rPr>
        <w:t>、</w:t>
      </w:r>
      <w:r>
        <w:rPr>
          <w:color w:val="auto"/>
        </w:rPr>
        <w:t>生产用介质</w:t>
      </w:r>
      <w:r>
        <w:rPr>
          <w:rFonts w:hint="eastAsia"/>
          <w:color w:val="auto"/>
        </w:rPr>
        <w:t>（水、电、气），甲方</w:t>
      </w:r>
      <w:r>
        <w:rPr>
          <w:color w:val="auto"/>
        </w:rPr>
        <w:t>负责将循环冷却水、压缩空气</w:t>
      </w:r>
      <w:r>
        <w:rPr>
          <w:rFonts w:hint="eastAsia"/>
          <w:color w:val="auto"/>
        </w:rPr>
        <w:t>生产用</w:t>
      </w:r>
      <w:r>
        <w:rPr>
          <w:color w:val="auto"/>
        </w:rPr>
        <w:t>介质送至设备就近</w:t>
      </w:r>
      <w:r>
        <w:rPr>
          <w:rFonts w:hint="eastAsia"/>
          <w:color w:val="auto"/>
        </w:rPr>
        <w:t>处</w:t>
      </w:r>
      <w:r>
        <w:rPr>
          <w:color w:val="auto"/>
        </w:rPr>
        <w:t>，</w:t>
      </w:r>
      <w:r>
        <w:rPr>
          <w:rFonts w:hint="eastAsia"/>
          <w:color w:val="auto"/>
        </w:rPr>
        <w:t>乙方</w:t>
      </w:r>
      <w:r>
        <w:rPr>
          <w:color w:val="auto"/>
        </w:rPr>
        <w:t>负责将水、压缩空气接入</w:t>
      </w:r>
      <w:r>
        <w:rPr>
          <w:rFonts w:hint="eastAsia"/>
          <w:color w:val="auto"/>
        </w:rPr>
        <w:t>乙方</w:t>
      </w:r>
      <w:r>
        <w:rPr>
          <w:color w:val="auto"/>
        </w:rPr>
        <w:t>的供货设备。位置、用量详细要求由</w:t>
      </w:r>
      <w:r>
        <w:rPr>
          <w:rFonts w:hint="eastAsia"/>
          <w:color w:val="auto"/>
        </w:rPr>
        <w:t>乙方</w:t>
      </w:r>
      <w:r>
        <w:rPr>
          <w:color w:val="auto"/>
        </w:rPr>
        <w:t>提供给</w:t>
      </w:r>
      <w:r>
        <w:rPr>
          <w:rFonts w:hint="eastAsia"/>
          <w:color w:val="auto"/>
        </w:rPr>
        <w:t>甲方</w:t>
      </w:r>
      <w:r>
        <w:rPr>
          <w:color w:val="auto"/>
        </w:rPr>
        <w:t>。</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甲乙双方责任区分表</w:t>
      </w:r>
    </w:p>
    <w:p>
      <w:pPr>
        <w:pStyle w:val="4"/>
      </w:pPr>
    </w:p>
    <w:tbl>
      <w:tblPr>
        <w:tblStyle w:val="15"/>
        <w:tblW w:w="877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3686"/>
        <w:gridCol w:w="850"/>
        <w:gridCol w:w="851"/>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序号</w:t>
            </w:r>
          </w:p>
        </w:tc>
        <w:tc>
          <w:tcPr>
            <w:tcW w:w="3686"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工作内容</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基础资料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设计提资、安装尺寸</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土建、基础</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安装调试水、电、物料</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设计供货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设计提资、安装尺寸图</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设计，生产加工图</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加工制造</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合同设备供货</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含电机、减速器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5"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5</w:t>
            </w:r>
          </w:p>
        </w:tc>
        <w:tc>
          <w:tcPr>
            <w:tcW w:w="3686" w:type="dxa"/>
          </w:tcPr>
          <w:p>
            <w:pPr>
              <w:rPr>
                <w:rFonts w:hint="eastAsia" w:ascii="宋体" w:hAnsi="宋体"/>
                <w:szCs w:val="21"/>
              </w:rPr>
            </w:pPr>
            <w:r>
              <w:rPr>
                <w:rFonts w:hint="eastAsia" w:ascii="宋体" w:hAnsi="宋体"/>
                <w:szCs w:val="21"/>
              </w:rPr>
              <w:t>所有的安装钢材、管道、阀门、仪表材料</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r>
              <w:rPr>
                <w:rFonts w:hint="eastAsia" w:ascii="宋体" w:hAnsi="宋体"/>
                <w:szCs w:val="21"/>
              </w:rPr>
              <w:t>含气动阀、气管及相应配件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6</w:t>
            </w:r>
          </w:p>
        </w:tc>
        <w:tc>
          <w:tcPr>
            <w:tcW w:w="3686" w:type="dxa"/>
          </w:tcPr>
          <w:p>
            <w:pPr>
              <w:rPr>
                <w:rFonts w:hint="eastAsia" w:ascii="宋体" w:hAnsi="宋体"/>
                <w:szCs w:val="21"/>
              </w:rPr>
            </w:pPr>
            <w:r>
              <w:rPr>
                <w:rFonts w:hint="eastAsia" w:ascii="宋体" w:hAnsi="宋体"/>
                <w:szCs w:val="21"/>
              </w:rPr>
              <w:t>系统</w:t>
            </w:r>
            <w:r>
              <w:rPr>
                <w:rFonts w:ascii="宋体" w:hAnsi="宋体"/>
                <w:szCs w:val="21"/>
              </w:rPr>
              <w:t>配套的标准或</w:t>
            </w:r>
            <w:r>
              <w:rPr>
                <w:rFonts w:hint="eastAsia" w:ascii="宋体" w:hAnsi="宋体"/>
                <w:szCs w:val="21"/>
              </w:rPr>
              <w:t>非标设备</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7</w:t>
            </w:r>
          </w:p>
        </w:tc>
        <w:tc>
          <w:tcPr>
            <w:tcW w:w="3686" w:type="dxa"/>
          </w:tcPr>
          <w:p>
            <w:pPr>
              <w:rPr>
                <w:rFonts w:hint="eastAsia" w:ascii="宋体" w:hAnsi="宋体"/>
                <w:szCs w:val="21"/>
              </w:rPr>
            </w:pPr>
            <w:r>
              <w:rPr>
                <w:rFonts w:hint="eastAsia" w:ascii="宋体" w:hAnsi="宋体"/>
                <w:szCs w:val="21"/>
              </w:rPr>
              <w:t>设备支架</w:t>
            </w:r>
            <w:r>
              <w:rPr>
                <w:rFonts w:hint="eastAsia" w:ascii="宋体" w:hAnsi="宋体"/>
                <w:color w:val="FF0000"/>
                <w:szCs w:val="21"/>
              </w:rPr>
              <w:t>、护栏及紧固件</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8</w:t>
            </w:r>
          </w:p>
        </w:tc>
        <w:tc>
          <w:tcPr>
            <w:tcW w:w="3686" w:type="dxa"/>
          </w:tcPr>
          <w:p>
            <w:pPr>
              <w:rPr>
                <w:rFonts w:hint="eastAsia" w:ascii="宋体" w:hAnsi="宋体"/>
                <w:szCs w:val="21"/>
              </w:rPr>
            </w:pPr>
            <w:r>
              <w:rPr>
                <w:rFonts w:hint="eastAsia" w:ascii="宋体" w:hAnsi="宋体"/>
                <w:szCs w:val="21"/>
              </w:rPr>
              <w:t>过程仪表</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9</w:t>
            </w:r>
          </w:p>
        </w:tc>
        <w:tc>
          <w:tcPr>
            <w:tcW w:w="3686" w:type="dxa"/>
          </w:tcPr>
          <w:p>
            <w:pPr>
              <w:rPr>
                <w:rFonts w:hint="eastAsia" w:ascii="宋体" w:hAnsi="宋体"/>
                <w:szCs w:val="21"/>
              </w:rPr>
            </w:pPr>
            <w:r>
              <w:rPr>
                <w:rFonts w:hint="eastAsia" w:ascii="宋体" w:hAnsi="宋体"/>
                <w:szCs w:val="21"/>
              </w:rPr>
              <w:t>喷砂除锈、油漆</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10</w:t>
            </w:r>
          </w:p>
        </w:tc>
        <w:tc>
          <w:tcPr>
            <w:tcW w:w="3686" w:type="dxa"/>
          </w:tcPr>
          <w:p>
            <w:pPr>
              <w:rPr>
                <w:rFonts w:hint="eastAsia" w:ascii="宋体" w:hAnsi="宋体"/>
                <w:szCs w:val="21"/>
              </w:rPr>
            </w:pPr>
            <w:r>
              <w:rPr>
                <w:rFonts w:hint="eastAsia" w:ascii="宋体" w:hAnsi="宋体"/>
                <w:szCs w:val="21"/>
              </w:rPr>
              <w:t>安装辅材、辅料</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11</w:t>
            </w:r>
          </w:p>
        </w:tc>
        <w:tc>
          <w:tcPr>
            <w:tcW w:w="3686" w:type="dxa"/>
          </w:tcPr>
          <w:p>
            <w:pPr>
              <w:rPr>
                <w:rFonts w:hint="eastAsia" w:ascii="宋体" w:hAnsi="宋体"/>
                <w:szCs w:val="21"/>
              </w:rPr>
            </w:pPr>
            <w:r>
              <w:rPr>
                <w:rFonts w:hint="eastAsia" w:ascii="宋体" w:hAnsi="宋体"/>
                <w:szCs w:val="21"/>
              </w:rPr>
              <w:t>调试用液压油、润滑脂等</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r>
              <w:rPr>
                <w:rFonts w:hint="eastAsia" w:ascii="宋体" w:hAnsi="宋体"/>
                <w:szCs w:val="21"/>
              </w:rPr>
              <w:t>长城牌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电气柜</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宋体" w:hAnsi="宋体"/>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螺旋输送</w:t>
            </w:r>
            <w:r>
              <w:rPr>
                <w:rFonts w:asciiTheme="minorEastAsia" w:hAnsiTheme="minorEastAsia" w:eastAsiaTheme="minorEastAsia" w:cstheme="minorEastAsia"/>
                <w:color w:val="000000"/>
                <w:kern w:val="0"/>
                <w:szCs w:val="21"/>
              </w:rPr>
              <w:t>机电气柜由甲方负责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0"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2.6</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备品备件(填料/轴承/密封胶垫/机脚螺栓)</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见附件备品备件清单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2.7</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减速器/轴承油脂,出厂前注入</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运输、装卸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出厂前整体拼装达标</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装货及运输</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运输保险</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到达现场的卸车及搬运</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r>
              <w:rPr>
                <w:rFonts w:asciiTheme="minorEastAsia" w:hAnsiTheme="minorEastAsia" w:eastAsiaTheme="minorEastAsia" w:cstheme="minorEastAsia"/>
                <w:color w:val="000000"/>
                <w:kern w:val="0"/>
                <w:szCs w:val="21"/>
              </w:rPr>
              <w:t>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宋体" w:hAnsi="宋体"/>
                <w:szCs w:val="21"/>
              </w:rPr>
              <w:t>二次吊装就位</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r>
              <w:rPr>
                <w:rFonts w:asciiTheme="minorEastAsia" w:hAnsiTheme="minorEastAsia" w:eastAsiaTheme="minorEastAsia" w:cstheme="minorEastAsia"/>
                <w:color w:val="000000"/>
                <w:kern w:val="0"/>
                <w:szCs w:val="21"/>
              </w:rPr>
              <w:t>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r>
              <w:rPr>
                <w:rFonts w:asciiTheme="minorEastAsia" w:hAnsiTheme="minorEastAsia" w:eastAsiaTheme="minorEastAsia" w:cstheme="minorEastAsia"/>
                <w:color w:val="000000"/>
                <w:kern w:val="0"/>
                <w:szCs w:val="21"/>
              </w:rPr>
              <w:t>6</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运输磕碰损坏修复</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调试</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乙方来人指导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试生产</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乙方指导协助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调试整改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1"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设计生产质量问题整改（卡阻、异响、滴漏、刮碰、变形、断裂等）</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乙方来人负责整改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电机、减速器、轴承等质量问题</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乙方来人负责整改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设备配件、零件有质量问题</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乙方负责整改更换配件或换机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性能测试、验收</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售后服务，保修期的保修</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操作使用维护说明书</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spacing w:line="360" w:lineRule="auto"/>
              <w:rPr>
                <w:rFonts w:hint="eastAsia" w:asciiTheme="minorEastAsia" w:hAnsiTheme="minorEastAsia" w:eastAsiaTheme="minorEastAsia" w:cstheme="minorEastAsia"/>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易损件清单、易损件加工图</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spacing w:line="360" w:lineRule="auto"/>
              <w:rPr>
                <w:rFonts w:hint="eastAsia" w:asciiTheme="minorEastAsia" w:hAnsiTheme="minorEastAsia" w:eastAsiaTheme="minorEastAsia" w:cstheme="minorEastAsia"/>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加工制造质检记录</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含材料检测、设备性能测试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技术资料(生产图、清单、设备模型)</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纸质版和电子版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w:t>
            </w:r>
          </w:p>
        </w:tc>
        <w:tc>
          <w:tcPr>
            <w:tcW w:w="8080" w:type="dxa"/>
            <w:gridSpan w:val="4"/>
          </w:tcPr>
          <w:p>
            <w:pPr>
              <w:spacing w:line="360" w:lineRule="exact"/>
              <w:jc w:val="center"/>
              <w:rPr>
                <w:rFonts w:hint="eastAsia" w:ascii="宋体" w:hAnsi="宋体"/>
                <w:szCs w:val="21"/>
              </w:rPr>
            </w:pPr>
            <w:r>
              <w:rPr>
                <w:rFonts w:hint="eastAsia" w:ascii="宋体" w:hAnsi="宋体"/>
                <w:szCs w:val="21"/>
              </w:rPr>
              <w:t>电气</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7.1</w:t>
            </w:r>
          </w:p>
        </w:tc>
        <w:tc>
          <w:tcPr>
            <w:tcW w:w="3686" w:type="dxa"/>
          </w:tcPr>
          <w:p>
            <w:pPr>
              <w:spacing w:line="360" w:lineRule="exact"/>
              <w:jc w:val="left"/>
              <w:rPr>
                <w:rFonts w:hint="eastAsia" w:ascii="宋体" w:hAnsi="宋体"/>
                <w:szCs w:val="21"/>
              </w:rPr>
            </w:pPr>
            <w:r>
              <w:rPr>
                <w:rFonts w:hint="eastAsia" w:ascii="宋体" w:hAnsi="宋体"/>
                <w:szCs w:val="21"/>
              </w:rPr>
              <w:t>电源线</w:t>
            </w:r>
            <w:r>
              <w:rPr>
                <w:rFonts w:ascii="宋体" w:hAnsi="宋体"/>
                <w:szCs w:val="21"/>
              </w:rPr>
              <w:t>接入</w:t>
            </w:r>
            <w:r>
              <w:rPr>
                <w:rFonts w:hint="eastAsia" w:ascii="宋体" w:hAnsi="宋体"/>
                <w:szCs w:val="21"/>
              </w:rPr>
              <w:t>电源</w:t>
            </w:r>
            <w:r>
              <w:rPr>
                <w:rFonts w:ascii="宋体" w:hAnsi="宋体"/>
                <w:szCs w:val="21"/>
              </w:rPr>
              <w:t>柜端口</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9" w:hRule="exact"/>
          <w:jc w:val="center"/>
        </w:trPr>
        <w:tc>
          <w:tcPr>
            <w:tcW w:w="699" w:type="dxa"/>
          </w:tcPr>
          <w:p>
            <w:pPr>
              <w:spacing w:line="360" w:lineRule="exact"/>
              <w:jc w:val="center"/>
              <w:rPr>
                <w:rFonts w:hint="eastAsia" w:ascii="宋体" w:hAnsi="宋体"/>
                <w:szCs w:val="21"/>
              </w:rPr>
            </w:pPr>
            <w:r>
              <w:rPr>
                <w:rFonts w:hint="eastAsia" w:ascii="宋体" w:hAnsi="宋体"/>
                <w:szCs w:val="21"/>
              </w:rPr>
              <w:t>7.2</w:t>
            </w:r>
          </w:p>
        </w:tc>
        <w:tc>
          <w:tcPr>
            <w:tcW w:w="3686" w:type="dxa"/>
          </w:tcPr>
          <w:p>
            <w:pPr>
              <w:spacing w:line="360" w:lineRule="exact"/>
              <w:jc w:val="left"/>
              <w:rPr>
                <w:rFonts w:hint="eastAsia" w:ascii="宋体" w:hAnsi="宋体"/>
                <w:szCs w:val="21"/>
              </w:rPr>
            </w:pPr>
            <w:r>
              <w:rPr>
                <w:rFonts w:hint="eastAsia" w:ascii="宋体" w:hAnsi="宋体"/>
                <w:szCs w:val="21"/>
              </w:rPr>
              <w:t>电</w:t>
            </w:r>
            <w:r>
              <w:rPr>
                <w:rFonts w:ascii="宋体" w:hAnsi="宋体"/>
                <w:szCs w:val="21"/>
              </w:rPr>
              <w:t>柜到设备之间的所有电缆、线管</w:t>
            </w:r>
            <w:r>
              <w:rPr>
                <w:rFonts w:hint="eastAsia" w:ascii="宋体" w:hAnsi="宋体"/>
                <w:szCs w:val="21"/>
              </w:rPr>
              <w:t>、桥架</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7.3</w:t>
            </w:r>
          </w:p>
        </w:tc>
        <w:tc>
          <w:tcPr>
            <w:tcW w:w="3686" w:type="dxa"/>
          </w:tcPr>
          <w:p>
            <w:pPr>
              <w:spacing w:line="360" w:lineRule="exact"/>
              <w:jc w:val="left"/>
              <w:rPr>
                <w:rFonts w:hint="eastAsia" w:ascii="宋体" w:hAnsi="宋体"/>
                <w:szCs w:val="21"/>
              </w:rPr>
            </w:pPr>
            <w:r>
              <w:rPr>
                <w:rFonts w:hint="eastAsia" w:ascii="宋体" w:hAnsi="宋体"/>
                <w:szCs w:val="21"/>
              </w:rPr>
              <w:t>提供详细电气系统清单</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7.4</w:t>
            </w:r>
          </w:p>
        </w:tc>
        <w:tc>
          <w:tcPr>
            <w:tcW w:w="3686" w:type="dxa"/>
          </w:tcPr>
          <w:p>
            <w:pPr>
              <w:spacing w:line="360" w:lineRule="exact"/>
              <w:jc w:val="left"/>
              <w:rPr>
                <w:rFonts w:hint="eastAsia" w:ascii="宋体" w:hAnsi="宋体"/>
                <w:szCs w:val="21"/>
              </w:rPr>
            </w:pPr>
            <w:r>
              <w:rPr>
                <w:rFonts w:hint="eastAsia" w:ascii="宋体" w:hAnsi="宋体"/>
                <w:szCs w:val="21"/>
              </w:rPr>
              <w:t>所有控制柜及PLC柜，现场柜</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7.5</w:t>
            </w:r>
          </w:p>
        </w:tc>
        <w:tc>
          <w:tcPr>
            <w:tcW w:w="3686" w:type="dxa"/>
          </w:tcPr>
          <w:p>
            <w:pPr>
              <w:spacing w:line="360" w:lineRule="exact"/>
              <w:jc w:val="left"/>
              <w:rPr>
                <w:rFonts w:hint="eastAsia" w:ascii="宋体" w:hAnsi="宋体"/>
                <w:szCs w:val="21"/>
              </w:rPr>
            </w:pPr>
            <w:r>
              <w:rPr>
                <w:rFonts w:hint="eastAsia" w:ascii="宋体" w:hAnsi="宋体"/>
                <w:szCs w:val="21"/>
              </w:rPr>
              <w:t>电气安装</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w:t>
            </w:r>
          </w:p>
        </w:tc>
        <w:tc>
          <w:tcPr>
            <w:tcW w:w="8080" w:type="dxa"/>
            <w:gridSpan w:val="4"/>
          </w:tcPr>
          <w:p>
            <w:pPr>
              <w:spacing w:line="360" w:lineRule="exact"/>
              <w:ind w:left="420" w:leftChars="200"/>
              <w:jc w:val="center"/>
              <w:rPr>
                <w:rFonts w:hint="eastAsia" w:ascii="宋体" w:hAnsi="宋体"/>
                <w:szCs w:val="21"/>
              </w:rPr>
            </w:pPr>
            <w:r>
              <w:rPr>
                <w:rFonts w:hint="eastAsia" w:ascii="宋体" w:hAnsi="宋体"/>
                <w:szCs w:val="21"/>
              </w:rPr>
              <w:t>自动化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8.1</w:t>
            </w:r>
          </w:p>
        </w:tc>
        <w:tc>
          <w:tcPr>
            <w:tcW w:w="3686" w:type="dxa"/>
          </w:tcPr>
          <w:p>
            <w:pPr>
              <w:spacing w:line="360" w:lineRule="exact"/>
              <w:jc w:val="left"/>
              <w:rPr>
                <w:rFonts w:hint="eastAsia" w:ascii="宋体" w:hAnsi="宋体"/>
                <w:szCs w:val="21"/>
              </w:rPr>
            </w:pPr>
            <w:r>
              <w:rPr>
                <w:rFonts w:hint="eastAsia" w:ascii="宋体" w:hAnsi="宋体"/>
                <w:szCs w:val="21"/>
              </w:rPr>
              <w:t>包含全部控制点的PLC控制逻辑图</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vMerge w:val="restart"/>
          </w:tcPr>
          <w:p>
            <w:pPr>
              <w:spacing w:line="360" w:lineRule="exact"/>
              <w:rPr>
                <w:rFonts w:hint="eastAsia" w:ascii="宋体" w:hAnsi="宋体"/>
                <w:szCs w:val="21"/>
              </w:rPr>
            </w:pPr>
            <w:r>
              <w:rPr>
                <w:rFonts w:hint="eastAsia" w:ascii="宋体" w:hAnsi="宋体"/>
                <w:szCs w:val="21"/>
              </w:rPr>
              <w:t>甲方将整个车间各系统的控制整体考虑，提供自控设计条件。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8" w:hRule="exact"/>
          <w:jc w:val="center"/>
        </w:trPr>
        <w:tc>
          <w:tcPr>
            <w:tcW w:w="699" w:type="dxa"/>
          </w:tcPr>
          <w:p>
            <w:pPr>
              <w:spacing w:line="360" w:lineRule="exact"/>
              <w:jc w:val="center"/>
              <w:rPr>
                <w:rFonts w:hint="eastAsia" w:ascii="宋体" w:hAnsi="宋体"/>
                <w:szCs w:val="21"/>
              </w:rPr>
            </w:pPr>
            <w:r>
              <w:rPr>
                <w:rFonts w:hint="eastAsia" w:ascii="宋体" w:hAnsi="宋体"/>
                <w:szCs w:val="21"/>
              </w:rPr>
              <w:t>8.2</w:t>
            </w:r>
          </w:p>
        </w:tc>
        <w:tc>
          <w:tcPr>
            <w:tcW w:w="3686" w:type="dxa"/>
          </w:tcPr>
          <w:p>
            <w:pPr>
              <w:spacing w:line="360" w:lineRule="exact"/>
              <w:jc w:val="left"/>
              <w:rPr>
                <w:rFonts w:hint="eastAsia" w:ascii="宋体" w:hAnsi="宋体"/>
                <w:szCs w:val="21"/>
              </w:rPr>
            </w:pPr>
            <w:r>
              <w:rPr>
                <w:rFonts w:hint="eastAsia" w:ascii="宋体" w:hAnsi="宋体"/>
                <w:szCs w:val="21"/>
              </w:rPr>
              <w:t>自控设计说明</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vMerge w:val="continue"/>
          </w:tcPr>
          <w:p>
            <w:pPr>
              <w:spacing w:line="360" w:lineRule="exact"/>
              <w:ind w:left="420" w:leftChars="200"/>
              <w:jc w:val="cente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8.3</w:t>
            </w:r>
          </w:p>
        </w:tc>
        <w:tc>
          <w:tcPr>
            <w:tcW w:w="3686" w:type="dxa"/>
          </w:tcPr>
          <w:p>
            <w:pPr>
              <w:spacing w:line="360" w:lineRule="exact"/>
              <w:jc w:val="left"/>
              <w:rPr>
                <w:rFonts w:hint="eastAsia" w:ascii="宋体" w:hAnsi="宋体"/>
                <w:szCs w:val="21"/>
              </w:rPr>
            </w:pPr>
            <w:r>
              <w:rPr>
                <w:rFonts w:hint="eastAsia" w:ascii="宋体" w:hAnsi="宋体"/>
                <w:szCs w:val="21"/>
              </w:rPr>
              <w:t>自控电缆槽、电缆桥架</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8.4</w:t>
            </w:r>
          </w:p>
        </w:tc>
        <w:tc>
          <w:tcPr>
            <w:tcW w:w="3686" w:type="dxa"/>
          </w:tcPr>
          <w:p>
            <w:pPr>
              <w:spacing w:line="360" w:lineRule="exact"/>
              <w:jc w:val="left"/>
              <w:rPr>
                <w:rFonts w:hint="eastAsia" w:ascii="宋体" w:hAnsi="宋体"/>
                <w:szCs w:val="21"/>
              </w:rPr>
            </w:pPr>
            <w:r>
              <w:rPr>
                <w:rFonts w:hint="eastAsia" w:ascii="宋体" w:hAnsi="宋体"/>
                <w:szCs w:val="21"/>
              </w:rPr>
              <w:t>自控设备仪表调试</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8.5</w:t>
            </w:r>
          </w:p>
        </w:tc>
        <w:tc>
          <w:tcPr>
            <w:tcW w:w="3686" w:type="dxa"/>
          </w:tcPr>
          <w:p>
            <w:pPr>
              <w:spacing w:line="360" w:lineRule="exact"/>
              <w:jc w:val="left"/>
              <w:rPr>
                <w:rFonts w:hint="eastAsia" w:ascii="宋体" w:hAnsi="宋体"/>
                <w:szCs w:val="21"/>
              </w:rPr>
            </w:pPr>
            <w:r>
              <w:rPr>
                <w:rFonts w:hint="eastAsia" w:ascii="宋体" w:hAnsi="宋体"/>
                <w:szCs w:val="21"/>
              </w:rPr>
              <w:t>自控系统调试</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培训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操作人员培训，维护、检修人员培训</w:t>
            </w:r>
          </w:p>
        </w:tc>
        <w:tc>
          <w:tcPr>
            <w:tcW w:w="850" w:type="dxa"/>
            <w:vAlign w:val="center"/>
          </w:tcPr>
          <w:p>
            <w:pPr>
              <w:widowControl/>
              <w:jc w:val="left"/>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szCs w:val="21"/>
              </w:rPr>
              <w:t>√</w:t>
            </w:r>
          </w:p>
        </w:tc>
        <w:tc>
          <w:tcPr>
            <w:tcW w:w="2693" w:type="dxa"/>
            <w:vAlign w:val="center"/>
          </w:tcPr>
          <w:p>
            <w:pPr>
              <w:widowControl/>
              <w:jc w:val="left"/>
              <w:rPr>
                <w:rFonts w:hint="eastAsia" w:asciiTheme="minorEastAsia" w:hAnsiTheme="minorEastAsia" w:eastAsiaTheme="minorEastAsia" w:cstheme="minorEastAsia"/>
                <w:color w:val="000000"/>
                <w:kern w:val="0"/>
                <w:szCs w:val="21"/>
              </w:rPr>
            </w:pPr>
          </w:p>
        </w:tc>
      </w:tr>
    </w:tbl>
    <w:p>
      <w:pPr>
        <w:pStyle w:val="13"/>
        <w:numPr>
          <w:ilvl w:val="0"/>
          <w:numId w:val="1"/>
        </w:numPr>
        <w:jc w:val="left"/>
        <w:rPr>
          <w:sz w:val="28"/>
          <w:szCs w:val="28"/>
        </w:rPr>
      </w:pPr>
      <w:r>
        <w:rPr>
          <w:rFonts w:hint="eastAsia"/>
          <w:sz w:val="28"/>
          <w:szCs w:val="28"/>
        </w:rPr>
        <w:t>资料交付</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投标单位投标时需交付以下技术资料：</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1）完善的设备布置图，DWG与PDF格式；</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2）设备外形图，包括主要配置清单、材质、材料规格、重量等信息；</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3）沼渣料仓的推平滑架、防架桥斜滑架系统，</w:t>
      </w:r>
      <w:r>
        <w:rPr>
          <w:rFonts w:asciiTheme="minorEastAsia" w:hAnsiTheme="minorEastAsia" w:eastAsiaTheme="minorEastAsia" w:cstheme="minorEastAsia"/>
          <w:sz w:val="24"/>
          <w:szCs w:val="24"/>
          <w:highlight w:val="yellow"/>
        </w:rPr>
        <w:t>腭式阀防滴水等结构需提供明确可行的方案介绍和结构形式（图纸中体现）</w:t>
      </w:r>
      <w:r>
        <w:rPr>
          <w:rFonts w:asciiTheme="minorEastAsia" w:hAnsiTheme="minorEastAsia" w:eastAsiaTheme="minorEastAsia" w:cstheme="minorEastAsia"/>
          <w:sz w:val="24"/>
          <w:szCs w:val="24"/>
        </w:rPr>
        <w:t>。</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4）液压系统配置清单，主要配件（电机、油泵、电磁换向阀、油缸等）选型规格；</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5）初步的电气配置清单及电缆清册。</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天内（含节假日）乙方向甲方提交所有设备及辅件的细化设计图纸、清单等资料，甲方会审意见反馈给乙方，5天内（含节假日）经甲乙双方技术问题沟通后，确定终版施工用技术图纸、资料。因乙方图纸设计缺陷导致变更延时不作为合同延期交货的依据，乙方对合同工期负责。</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版液压</w:t>
      </w:r>
      <w:r>
        <w:rPr>
          <w:rFonts w:hint="eastAsia" w:asciiTheme="minorEastAsia" w:hAnsiTheme="minorEastAsia" w:eastAsiaTheme="minorEastAsia" w:cstheme="minorEastAsia"/>
          <w:sz w:val="24"/>
          <w:szCs w:val="24"/>
        </w:rPr>
        <w:t>原理图、液压</w:t>
      </w:r>
      <w:r>
        <w:rPr>
          <w:rFonts w:asciiTheme="minorEastAsia" w:hAnsiTheme="minorEastAsia" w:eastAsiaTheme="minorEastAsia" w:cstheme="minorEastAsia"/>
          <w:sz w:val="24"/>
          <w:szCs w:val="24"/>
        </w:rPr>
        <w:t>系统</w:t>
      </w:r>
      <w:r>
        <w:rPr>
          <w:rFonts w:hint="eastAsia" w:asciiTheme="minorEastAsia" w:hAnsiTheme="minorEastAsia" w:eastAsiaTheme="minorEastAsia" w:cstheme="minorEastAsia"/>
          <w:sz w:val="24"/>
          <w:szCs w:val="24"/>
        </w:rPr>
        <w:t>详细</w:t>
      </w:r>
      <w:r>
        <w:rPr>
          <w:rFonts w:asciiTheme="minorEastAsia" w:hAnsiTheme="minorEastAsia" w:eastAsiaTheme="minorEastAsia" w:cstheme="minorEastAsia"/>
          <w:sz w:val="24"/>
          <w:szCs w:val="24"/>
        </w:rPr>
        <w:t>配置清单；</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w:t>
      </w:r>
      <w:r>
        <w:rPr>
          <w:rFonts w:hint="eastAsia" w:asciiTheme="minorEastAsia" w:hAnsiTheme="minorEastAsia" w:eastAsiaTheme="minorEastAsia" w:cstheme="minorEastAsia"/>
          <w:sz w:val="24"/>
          <w:szCs w:val="24"/>
        </w:rPr>
        <w:t>电气原理图、工艺流程图、设备安装图、PLC、上位机</w:t>
      </w:r>
      <w:r>
        <w:rPr>
          <w:rFonts w:asciiTheme="minorEastAsia" w:hAnsiTheme="minorEastAsia" w:eastAsiaTheme="minorEastAsia" w:cstheme="minorEastAsia"/>
          <w:sz w:val="24"/>
          <w:szCs w:val="24"/>
        </w:rPr>
        <w:t>控制画面</w:t>
      </w:r>
      <w:r>
        <w:rPr>
          <w:rFonts w:hint="eastAsia" w:asciiTheme="minorEastAsia" w:hAnsiTheme="minorEastAsia" w:eastAsiaTheme="minorEastAsia" w:cstheme="minorEastAsia"/>
          <w:sz w:val="24"/>
          <w:szCs w:val="24"/>
        </w:rPr>
        <w:t>。所有电气设备清单以及功率电流、电压相关参数。</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设备出厂时或安装调试期间乙方提供各设备操作说明书、维护保养手册、合格证、质保书等设备资料；及各种原材料的进货验收资料、材质检测报告；设备过程测试报告、检测验收报告。</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乙方向甲方移交竣工图纸、资料为电子档DWG、word及纸质档6份及solidworks外形模型。</w:t>
      </w:r>
    </w:p>
    <w:p>
      <w:pPr>
        <w:pStyle w:val="13"/>
        <w:numPr>
          <w:ilvl w:val="0"/>
          <w:numId w:val="1"/>
        </w:numPr>
        <w:jc w:val="left"/>
        <w:rPr>
          <w:sz w:val="28"/>
          <w:szCs w:val="28"/>
        </w:rPr>
      </w:pPr>
      <w:r>
        <w:rPr>
          <w:rFonts w:hint="eastAsia"/>
          <w:sz w:val="28"/>
          <w:szCs w:val="28"/>
        </w:rPr>
        <w:t>技术服务</w:t>
      </w:r>
    </w:p>
    <w:p>
      <w:pPr>
        <w:spacing w:line="360" w:lineRule="auto"/>
        <w:ind w:firstLine="480" w:firstLineChars="200"/>
        <w:rPr>
          <w:rFonts w:hint="eastAsia" w:ascii="宋体" w:hAnsi="宋体"/>
          <w:sz w:val="24"/>
        </w:rPr>
      </w:pPr>
      <w:r>
        <w:rPr>
          <w:rFonts w:hint="eastAsia" w:ascii="宋体" w:hAnsi="宋体"/>
          <w:sz w:val="24"/>
        </w:rPr>
        <w:t>乙方负责</w:t>
      </w:r>
      <w:r>
        <w:rPr>
          <w:rFonts w:ascii="宋体" w:hAnsi="宋体"/>
          <w:sz w:val="24"/>
        </w:rPr>
        <w:t>培训该设备合格的操作人员、维护保养人员和维修人员，从而保证设备正常、有序和高效的运作。具体如下：</w:t>
      </w:r>
    </w:p>
    <w:p>
      <w:pPr>
        <w:pStyle w:val="19"/>
        <w:numPr>
          <w:ilvl w:val="0"/>
          <w:numId w:val="19"/>
        </w:numPr>
        <w:spacing w:line="360" w:lineRule="auto"/>
        <w:ind w:firstLineChars="0"/>
        <w:rPr>
          <w:rFonts w:hint="eastAsia" w:ascii="宋体" w:hAnsi="宋体"/>
          <w:sz w:val="24"/>
        </w:rPr>
      </w:pPr>
      <w:r>
        <w:rPr>
          <w:rFonts w:hint="eastAsia" w:ascii="宋体" w:hAnsi="宋体"/>
          <w:sz w:val="24"/>
        </w:rPr>
        <w:t>乙方</w:t>
      </w:r>
      <w:r>
        <w:rPr>
          <w:rFonts w:ascii="宋体" w:hAnsi="宋体"/>
          <w:sz w:val="24"/>
        </w:rPr>
        <w:t>负责为该项目的工程技术人员及操作技术工人</w:t>
      </w:r>
      <w:r>
        <w:rPr>
          <w:rFonts w:hint="eastAsia" w:ascii="宋体" w:hAnsi="宋体"/>
          <w:sz w:val="24"/>
        </w:rPr>
        <w:t>、维护人员</w:t>
      </w:r>
      <w:r>
        <w:rPr>
          <w:rFonts w:ascii="宋体" w:hAnsi="宋体"/>
          <w:sz w:val="24"/>
        </w:rPr>
        <w:t>进行技术培训，在项目现场安装、调试和试运行进行不少于</w:t>
      </w:r>
      <w:r>
        <w:rPr>
          <w:rFonts w:hint="eastAsia" w:ascii="宋体" w:hAnsi="宋体"/>
          <w:sz w:val="24"/>
        </w:rPr>
        <w:t>7天的技术服务</w:t>
      </w:r>
      <w:r>
        <w:rPr>
          <w:rFonts w:ascii="宋体" w:hAnsi="宋体"/>
          <w:sz w:val="24"/>
        </w:rPr>
        <w:t>。</w:t>
      </w:r>
    </w:p>
    <w:p>
      <w:pPr>
        <w:pStyle w:val="19"/>
        <w:numPr>
          <w:ilvl w:val="0"/>
          <w:numId w:val="19"/>
        </w:numPr>
        <w:spacing w:line="360" w:lineRule="auto"/>
        <w:ind w:firstLineChars="0"/>
        <w:rPr>
          <w:rFonts w:hint="eastAsia" w:ascii="宋体" w:hAnsi="宋体"/>
          <w:sz w:val="24"/>
        </w:rPr>
      </w:pPr>
      <w:r>
        <w:rPr>
          <w:rFonts w:hint="eastAsia" w:ascii="宋体" w:hAnsi="宋体"/>
          <w:sz w:val="24"/>
        </w:rPr>
        <w:t>乙</w:t>
      </w:r>
      <w:r>
        <w:rPr>
          <w:rFonts w:ascii="宋体" w:hAnsi="宋体"/>
          <w:sz w:val="24"/>
        </w:rPr>
        <w:t>方选派具有丰富经验和资格的技术人员作技术指导，制定详细的理论及理论与实践培训大纲，负责解释和讲解设备有关技术问题。</w:t>
      </w:r>
    </w:p>
    <w:p>
      <w:pPr>
        <w:pStyle w:val="19"/>
        <w:numPr>
          <w:ilvl w:val="0"/>
          <w:numId w:val="19"/>
        </w:numPr>
        <w:spacing w:line="360" w:lineRule="auto"/>
        <w:ind w:firstLineChars="0"/>
        <w:rPr>
          <w:rFonts w:hint="eastAsia" w:ascii="宋体" w:hAnsi="宋体"/>
          <w:sz w:val="24"/>
        </w:rPr>
      </w:pPr>
      <w:r>
        <w:rPr>
          <w:rFonts w:hint="eastAsia" w:ascii="宋体" w:hAnsi="宋体"/>
          <w:sz w:val="24"/>
        </w:rPr>
        <w:t>乙</w:t>
      </w:r>
      <w:r>
        <w:rPr>
          <w:rFonts w:ascii="宋体" w:hAnsi="宋体"/>
          <w:sz w:val="24"/>
        </w:rPr>
        <w:t>方</w:t>
      </w:r>
      <w:r>
        <w:rPr>
          <w:rFonts w:hint="eastAsia" w:ascii="宋体" w:hAnsi="宋体"/>
          <w:sz w:val="24"/>
        </w:rPr>
        <w:t>提供培训内容及受训人签字记录单或考卷，确保受训人掌握维护技术要领。该记录作为验收资料之一。</w:t>
      </w:r>
    </w:p>
    <w:p>
      <w:pPr>
        <w:pStyle w:val="13"/>
        <w:numPr>
          <w:ilvl w:val="0"/>
          <w:numId w:val="1"/>
        </w:numPr>
        <w:jc w:val="left"/>
        <w:rPr>
          <w:sz w:val="28"/>
          <w:szCs w:val="28"/>
        </w:rPr>
      </w:pPr>
      <w:bookmarkStart w:id="4" w:name="_Toc11153244"/>
      <w:bookmarkStart w:id="5" w:name="_Toc12000782"/>
      <w:r>
        <w:rPr>
          <w:sz w:val="28"/>
          <w:szCs w:val="28"/>
        </w:rPr>
        <w:t>产品质量保证</w:t>
      </w:r>
      <w:bookmarkEnd w:id="4"/>
      <w:bookmarkEnd w:id="5"/>
    </w:p>
    <w:p>
      <w:pPr>
        <w:pStyle w:val="7"/>
        <w:spacing w:line="360" w:lineRule="auto"/>
        <w:ind w:firstLine="452" w:firstLineChars="200"/>
        <w:rPr>
          <w:spacing w:val="-7"/>
          <w:sz w:val="24"/>
          <w:szCs w:val="24"/>
        </w:rPr>
      </w:pPr>
      <w:r>
        <w:rPr>
          <w:rFonts w:hint="eastAsia"/>
          <w:spacing w:val="-7"/>
          <w:sz w:val="24"/>
          <w:szCs w:val="24"/>
        </w:rPr>
        <w:t>乙方有可操作的质量保证程序及相应文件，并在生产、检验本技术协议书中的产品时严格执行质量程序文件。</w:t>
      </w:r>
    </w:p>
    <w:p>
      <w:pPr>
        <w:pStyle w:val="7"/>
        <w:spacing w:line="360" w:lineRule="auto"/>
        <w:ind w:firstLine="452" w:firstLineChars="200"/>
        <w:rPr>
          <w:spacing w:val="-7"/>
          <w:sz w:val="24"/>
          <w:szCs w:val="24"/>
        </w:rPr>
      </w:pPr>
      <w:r>
        <w:rPr>
          <w:rFonts w:hint="eastAsia"/>
          <w:spacing w:val="-7"/>
          <w:sz w:val="24"/>
          <w:szCs w:val="24"/>
        </w:rPr>
        <w:t>在产品监造、检验和验收过程中，如发现任何不符合本规范书要求的产品或配件，乙方及时返修或更换，直至符合规定要求。</w:t>
      </w:r>
    </w:p>
    <w:p>
      <w:pPr>
        <w:pStyle w:val="7"/>
        <w:spacing w:line="360" w:lineRule="auto"/>
        <w:ind w:firstLine="452" w:firstLineChars="200"/>
        <w:rPr>
          <w:spacing w:val="-7"/>
          <w:sz w:val="24"/>
          <w:szCs w:val="24"/>
        </w:rPr>
      </w:pPr>
      <w:r>
        <w:rPr>
          <w:rFonts w:hint="eastAsia"/>
          <w:spacing w:val="-7"/>
          <w:sz w:val="24"/>
          <w:szCs w:val="24"/>
        </w:rPr>
        <w:t>若</w:t>
      </w:r>
      <w:r>
        <w:rPr>
          <w:rFonts w:hint="eastAsia"/>
          <w:spacing w:val="-7"/>
          <w:sz w:val="24"/>
          <w:szCs w:val="24"/>
          <w:highlight w:val="yellow"/>
        </w:rPr>
        <w:t>调试</w:t>
      </w:r>
      <w:r>
        <w:rPr>
          <w:spacing w:val="-7"/>
          <w:sz w:val="24"/>
          <w:szCs w:val="24"/>
          <w:highlight w:val="yellow"/>
        </w:rPr>
        <w:t>试运行期间</w:t>
      </w:r>
      <w:r>
        <w:rPr>
          <w:rFonts w:hint="eastAsia"/>
          <w:spacing w:val="-7"/>
          <w:sz w:val="24"/>
          <w:szCs w:val="24"/>
          <w:highlight w:val="yellow"/>
        </w:rPr>
        <w:t>料斗排</w:t>
      </w:r>
      <w:r>
        <w:rPr>
          <w:spacing w:val="-7"/>
          <w:sz w:val="24"/>
          <w:szCs w:val="24"/>
          <w:highlight w:val="yellow"/>
        </w:rPr>
        <w:t>料不畅</w:t>
      </w:r>
      <w:r>
        <w:rPr>
          <w:rFonts w:hint="eastAsia"/>
          <w:spacing w:val="-7"/>
          <w:sz w:val="24"/>
          <w:szCs w:val="24"/>
          <w:highlight w:val="yellow"/>
        </w:rPr>
        <w:t>、有效装料</w:t>
      </w:r>
      <w:r>
        <w:rPr>
          <w:spacing w:val="-7"/>
          <w:sz w:val="24"/>
          <w:szCs w:val="24"/>
          <w:highlight w:val="yellow"/>
        </w:rPr>
        <w:t>容积达不到</w:t>
      </w:r>
      <w:r>
        <w:rPr>
          <w:rFonts w:hint="eastAsia"/>
          <w:spacing w:val="-7"/>
          <w:sz w:val="24"/>
          <w:szCs w:val="24"/>
          <w:highlight w:val="yellow"/>
        </w:rPr>
        <w:t>要求、螺旋内物料</w:t>
      </w:r>
      <w:r>
        <w:rPr>
          <w:spacing w:val="-7"/>
          <w:sz w:val="24"/>
          <w:szCs w:val="24"/>
          <w:highlight w:val="yellow"/>
        </w:rPr>
        <w:t>不能送到料斗</w:t>
      </w:r>
      <w:r>
        <w:rPr>
          <w:rFonts w:hint="eastAsia"/>
          <w:spacing w:val="-7"/>
          <w:sz w:val="24"/>
          <w:szCs w:val="24"/>
          <w:highlight w:val="yellow"/>
        </w:rPr>
        <w:t>、</w:t>
      </w:r>
      <w:r>
        <w:rPr>
          <w:spacing w:val="-7"/>
          <w:sz w:val="24"/>
          <w:szCs w:val="24"/>
          <w:highlight w:val="yellow"/>
        </w:rPr>
        <w:t>料斗</w:t>
      </w:r>
      <w:r>
        <w:rPr>
          <w:rFonts w:hint="eastAsia"/>
          <w:spacing w:val="-7"/>
          <w:sz w:val="24"/>
          <w:szCs w:val="24"/>
          <w:highlight w:val="yellow"/>
        </w:rPr>
        <w:t>关闭</w:t>
      </w:r>
      <w:r>
        <w:rPr>
          <w:spacing w:val="-7"/>
          <w:sz w:val="24"/>
          <w:szCs w:val="24"/>
          <w:highlight w:val="yellow"/>
        </w:rPr>
        <w:t>不严密漏料等功能缺陷</w:t>
      </w:r>
      <w:r>
        <w:rPr>
          <w:rFonts w:hint="eastAsia"/>
          <w:spacing w:val="-7"/>
          <w:sz w:val="24"/>
          <w:szCs w:val="24"/>
          <w:highlight w:val="yellow"/>
        </w:rPr>
        <w:t>由乙方</w:t>
      </w:r>
      <w:r>
        <w:rPr>
          <w:spacing w:val="-7"/>
          <w:sz w:val="24"/>
          <w:szCs w:val="24"/>
          <w:highlight w:val="yellow"/>
        </w:rPr>
        <w:t>负责</w:t>
      </w:r>
      <w:r>
        <w:rPr>
          <w:rFonts w:hint="eastAsia"/>
          <w:spacing w:val="-7"/>
          <w:sz w:val="24"/>
          <w:szCs w:val="24"/>
          <w:highlight w:val="yellow"/>
        </w:rPr>
        <w:t>免费整改</w:t>
      </w:r>
      <w:r>
        <w:rPr>
          <w:rFonts w:hint="eastAsia"/>
          <w:spacing w:val="-7"/>
          <w:sz w:val="24"/>
          <w:szCs w:val="24"/>
        </w:rPr>
        <w:t>。</w:t>
      </w:r>
    </w:p>
    <w:p>
      <w:pPr>
        <w:pStyle w:val="7"/>
        <w:spacing w:line="360" w:lineRule="auto"/>
        <w:ind w:firstLine="452" w:firstLineChars="200"/>
        <w:rPr>
          <w:spacing w:val="-7"/>
          <w:sz w:val="24"/>
          <w:szCs w:val="24"/>
        </w:rPr>
      </w:pPr>
      <w:r>
        <w:rPr>
          <w:spacing w:val="-7"/>
          <w:sz w:val="24"/>
          <w:szCs w:val="24"/>
        </w:rPr>
        <w:t>设备质保期</w:t>
      </w:r>
      <w:r>
        <w:rPr>
          <w:rFonts w:hint="eastAsia"/>
          <w:spacing w:val="-7"/>
          <w:sz w:val="24"/>
          <w:szCs w:val="24"/>
        </w:rPr>
        <w:t>说明</w:t>
      </w:r>
      <w:r>
        <w:rPr>
          <w:spacing w:val="-7"/>
          <w:sz w:val="24"/>
          <w:szCs w:val="24"/>
        </w:rPr>
        <w:t>: 保证期（质保期）为</w:t>
      </w:r>
      <w:r>
        <w:rPr>
          <w:rFonts w:hint="eastAsia" w:ascii="Times New Roman" w:hAnsi="Times New Roman"/>
          <w:kern w:val="0"/>
          <w:sz w:val="24"/>
          <w:szCs w:val="21"/>
        </w:rPr>
        <w:t>从调试验收合格后起2年质保期或设备及资料（含随机配件、说明书、电子资料等全套资料）齐全移交采购方后起计30个月</w:t>
      </w:r>
      <w:r>
        <w:rPr>
          <w:rFonts w:hint="eastAsia"/>
          <w:spacing w:val="-7"/>
          <w:sz w:val="24"/>
          <w:szCs w:val="24"/>
        </w:rPr>
        <w:t>；</w:t>
      </w:r>
      <w:r>
        <w:rPr>
          <w:rFonts w:hint="eastAsia" w:ascii="Times New Roman" w:hAnsi="Times New Roman"/>
          <w:kern w:val="0"/>
          <w:sz w:val="24"/>
          <w:szCs w:val="21"/>
        </w:rPr>
        <w:t>验收不合格需整改的由供应方负责无偿整改，从整改完成验收后起计质保期；</w:t>
      </w:r>
      <w:r>
        <w:rPr>
          <w:spacing w:val="-7"/>
          <w:sz w:val="24"/>
          <w:szCs w:val="24"/>
        </w:rPr>
        <w:t>质保期内﹑质保期后</w:t>
      </w:r>
      <w:r>
        <w:rPr>
          <w:rFonts w:hint="eastAsia"/>
          <w:spacing w:val="-7"/>
          <w:sz w:val="24"/>
          <w:szCs w:val="24"/>
        </w:rPr>
        <w:t>，乙方</w:t>
      </w:r>
      <w:r>
        <w:rPr>
          <w:spacing w:val="-7"/>
          <w:sz w:val="24"/>
          <w:szCs w:val="24"/>
        </w:rPr>
        <w:t>进行长期售后服务， 及时满足</w:t>
      </w:r>
      <w:r>
        <w:rPr>
          <w:rFonts w:hint="eastAsia"/>
          <w:spacing w:val="-7"/>
          <w:sz w:val="24"/>
          <w:szCs w:val="24"/>
        </w:rPr>
        <w:t>定作方</w:t>
      </w:r>
      <w:r>
        <w:rPr>
          <w:spacing w:val="-7"/>
          <w:sz w:val="24"/>
          <w:szCs w:val="24"/>
        </w:rPr>
        <w:t>需求。质保期内设备在正常使用的条件下发生故障</w:t>
      </w:r>
      <w:r>
        <w:rPr>
          <w:rFonts w:hint="eastAsia"/>
          <w:spacing w:val="-7"/>
          <w:sz w:val="24"/>
          <w:szCs w:val="24"/>
        </w:rPr>
        <w:t>，</w:t>
      </w:r>
      <w:r>
        <w:rPr>
          <w:spacing w:val="-7"/>
          <w:sz w:val="24"/>
          <w:szCs w:val="24"/>
        </w:rPr>
        <w:t>均由</w:t>
      </w:r>
      <w:r>
        <w:rPr>
          <w:rFonts w:hint="eastAsia"/>
          <w:spacing w:val="-7"/>
          <w:sz w:val="24"/>
          <w:szCs w:val="24"/>
        </w:rPr>
        <w:t>乙方</w:t>
      </w:r>
      <w:r>
        <w:rPr>
          <w:spacing w:val="-7"/>
          <w:sz w:val="24"/>
          <w:szCs w:val="24"/>
        </w:rPr>
        <w:t>负责免费修理更换。</w:t>
      </w:r>
    </w:p>
    <w:p>
      <w:pPr>
        <w:pStyle w:val="13"/>
        <w:numPr>
          <w:ilvl w:val="0"/>
          <w:numId w:val="1"/>
        </w:numPr>
        <w:jc w:val="left"/>
        <w:rPr>
          <w:sz w:val="28"/>
          <w:szCs w:val="28"/>
        </w:rPr>
      </w:pPr>
      <w:bookmarkStart w:id="6" w:name="_Toc511931778"/>
      <w:r>
        <w:rPr>
          <w:rFonts w:hint="eastAsia"/>
          <w:sz w:val="28"/>
          <w:szCs w:val="28"/>
        </w:rPr>
        <w:t>售后服务</w:t>
      </w:r>
      <w:bookmarkEnd w:id="6"/>
    </w:p>
    <w:p>
      <w:pPr>
        <w:spacing w:line="360" w:lineRule="auto"/>
        <w:ind w:left="-73" w:leftChars="-35" w:firstLine="480" w:firstLineChars="200"/>
        <w:rPr>
          <w:rFonts w:hint="eastAsia" w:asciiTheme="minorEastAsia" w:hAnsiTheme="minorEastAsia"/>
          <w:sz w:val="24"/>
          <w:szCs w:val="24"/>
        </w:rPr>
      </w:pPr>
      <w:r>
        <w:rPr>
          <w:rFonts w:hint="eastAsia" w:asciiTheme="minorEastAsia" w:hAnsiTheme="minorEastAsia"/>
          <w:sz w:val="24"/>
          <w:szCs w:val="24"/>
        </w:rPr>
        <w:t>乙方对所供货产品提供完整的技术保证和质量保证。</w:t>
      </w:r>
    </w:p>
    <w:p>
      <w:pPr>
        <w:spacing w:line="360" w:lineRule="auto"/>
        <w:ind w:left="-73" w:leftChars="-35" w:firstLine="480" w:firstLineChars="200"/>
        <w:jc w:val="left"/>
        <w:rPr>
          <w:rFonts w:hint="eastAsia" w:hAnsi="宋体"/>
          <w:sz w:val="24"/>
          <w:szCs w:val="24"/>
        </w:rPr>
      </w:pPr>
      <w:r>
        <w:rPr>
          <w:rFonts w:hint="eastAsia" w:hAnsi="宋体"/>
          <w:sz w:val="24"/>
          <w:szCs w:val="24"/>
        </w:rPr>
        <w:t>对设备从销售之日起实行终身服务，在双方约定的保修期内，凡有质量问题的产品均实行免费包修、包换、包退，包人工及配件。用户在正确使用的条件下，如发现质量问题，在接到用户通知后3小时内做出答复：需要派出服务人员时，24小时到达现场，并保证故障不排除不撤离。</w:t>
      </w:r>
    </w:p>
    <w:p>
      <w:pPr>
        <w:pStyle w:val="13"/>
        <w:numPr>
          <w:ilvl w:val="0"/>
          <w:numId w:val="1"/>
        </w:numPr>
        <w:jc w:val="left"/>
        <w:rPr>
          <w:sz w:val="28"/>
          <w:szCs w:val="28"/>
        </w:rPr>
      </w:pPr>
      <w:r>
        <w:rPr>
          <w:rFonts w:hint="eastAsia"/>
          <w:sz w:val="28"/>
          <w:szCs w:val="28"/>
        </w:rPr>
        <w:t>备品备件清单</w:t>
      </w:r>
    </w:p>
    <w:p>
      <w:pPr>
        <w:jc w:val="center"/>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表一 随机备品备件及工具清单</w:t>
      </w:r>
    </w:p>
    <w:tbl>
      <w:tblPr>
        <w:tblStyle w:val="16"/>
        <w:tblW w:w="9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178"/>
        <w:gridCol w:w="2578"/>
        <w:gridCol w:w="958"/>
        <w:gridCol w:w="2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序号</w:t>
            </w:r>
          </w:p>
        </w:tc>
        <w:tc>
          <w:tcPr>
            <w:tcW w:w="217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名称</w:t>
            </w:r>
          </w:p>
        </w:tc>
        <w:tc>
          <w:tcPr>
            <w:tcW w:w="257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规格型号</w:t>
            </w:r>
          </w:p>
        </w:tc>
        <w:tc>
          <w:tcPr>
            <w:tcW w:w="95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数量</w:t>
            </w:r>
          </w:p>
        </w:tc>
        <w:tc>
          <w:tcPr>
            <w:tcW w:w="256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cs="宋体"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2</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3</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4</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5</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6</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bl>
    <w:p>
      <w:pPr>
        <w:jc w:val="center"/>
        <w:rPr>
          <w:rFonts w:hint="eastAsia" w:asciiTheme="minorEastAsia" w:hAnsiTheme="minorEastAsia" w:eastAsiaTheme="minorEastAsia"/>
          <w:b/>
          <w:color w:val="000000"/>
          <w:sz w:val="24"/>
          <w:szCs w:val="24"/>
        </w:rPr>
      </w:pPr>
      <w:r>
        <w:rPr>
          <w:rFonts w:asciiTheme="minorEastAsia" w:hAnsiTheme="minorEastAsia" w:eastAsiaTheme="minorEastAsia"/>
          <w:b/>
          <w:color w:val="000000"/>
          <w:sz w:val="24"/>
          <w:szCs w:val="24"/>
        </w:rPr>
        <w:t>表</w:t>
      </w:r>
      <w:r>
        <w:rPr>
          <w:rFonts w:hint="eastAsia" w:asciiTheme="minorEastAsia" w:hAnsiTheme="minorEastAsia" w:eastAsiaTheme="minorEastAsia"/>
          <w:b/>
          <w:color w:val="000000"/>
          <w:sz w:val="24"/>
          <w:szCs w:val="24"/>
        </w:rPr>
        <w:t>二 两年内易损件</w:t>
      </w:r>
      <w:r>
        <w:rPr>
          <w:rFonts w:asciiTheme="minorEastAsia" w:hAnsiTheme="minorEastAsia" w:eastAsiaTheme="minorEastAsia"/>
          <w:b/>
          <w:color w:val="000000"/>
          <w:sz w:val="24"/>
          <w:szCs w:val="24"/>
        </w:rPr>
        <w:t>清单</w:t>
      </w:r>
    </w:p>
    <w:tbl>
      <w:tblPr>
        <w:tblStyle w:val="1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231"/>
        <w:gridCol w:w="1320"/>
        <w:gridCol w:w="1418"/>
        <w:gridCol w:w="850"/>
        <w:gridCol w:w="992"/>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blHeader/>
          <w:jc w:val="center"/>
        </w:trPr>
        <w:tc>
          <w:tcPr>
            <w:tcW w:w="988" w:type="dxa"/>
            <w:vAlign w:val="center"/>
          </w:tcPr>
          <w:p>
            <w:pPr>
              <w:pStyle w:val="36"/>
              <w:rPr>
                <w:rFonts w:hint="eastAsia" w:asciiTheme="minorEastAsia" w:hAnsiTheme="minorEastAsia" w:eastAsiaTheme="minorEastAsia"/>
                <w:color w:val="000000"/>
                <w:sz w:val="24"/>
                <w:szCs w:val="24"/>
              </w:rPr>
            </w:pPr>
            <w:r>
              <w:rPr>
                <w:rFonts w:asciiTheme="minorEastAsia" w:hAnsiTheme="minorEastAsia" w:eastAsiaTheme="minorEastAsia"/>
                <w:color w:val="000000"/>
                <w:sz w:val="24"/>
                <w:szCs w:val="24"/>
              </w:rPr>
              <w:t>序号</w:t>
            </w:r>
          </w:p>
        </w:tc>
        <w:tc>
          <w:tcPr>
            <w:tcW w:w="1231"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备件名称</w:t>
            </w:r>
          </w:p>
        </w:tc>
        <w:tc>
          <w:tcPr>
            <w:tcW w:w="1320"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型号</w:t>
            </w:r>
          </w:p>
        </w:tc>
        <w:tc>
          <w:tcPr>
            <w:tcW w:w="1418"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规格参数</w:t>
            </w:r>
          </w:p>
        </w:tc>
        <w:tc>
          <w:tcPr>
            <w:tcW w:w="850"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数量</w:t>
            </w:r>
          </w:p>
        </w:tc>
        <w:tc>
          <w:tcPr>
            <w:tcW w:w="992"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单位 </w:t>
            </w:r>
          </w:p>
        </w:tc>
        <w:tc>
          <w:tcPr>
            <w:tcW w:w="1134"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单价（元）</w:t>
            </w:r>
          </w:p>
        </w:tc>
        <w:tc>
          <w:tcPr>
            <w:tcW w:w="1134"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p>
        </w:tc>
        <w:tc>
          <w:tcPr>
            <w:tcW w:w="1231" w:type="dxa"/>
            <w:vAlign w:val="center"/>
          </w:tcPr>
          <w:p>
            <w:pPr>
              <w:pStyle w:val="35"/>
              <w:jc w:val="both"/>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bl>
    <w:p>
      <w:pPr>
        <w:pStyle w:val="13"/>
        <w:ind w:left="720"/>
        <w:jc w:val="left"/>
        <w:rPr>
          <w:sz w:val="28"/>
          <w:szCs w:val="28"/>
        </w:rPr>
      </w:pPr>
    </w:p>
    <w:p>
      <w:pPr>
        <w:pStyle w:val="13"/>
        <w:numPr>
          <w:ilvl w:val="0"/>
          <w:numId w:val="1"/>
        </w:numPr>
        <w:jc w:val="left"/>
        <w:rPr>
          <w:sz w:val="28"/>
          <w:szCs w:val="28"/>
        </w:rPr>
      </w:pPr>
      <w:r>
        <w:rPr>
          <w:rFonts w:hint="eastAsia"/>
          <w:sz w:val="28"/>
          <w:szCs w:val="28"/>
        </w:rPr>
        <w:t>图纸(</w:t>
      </w:r>
      <w:r>
        <w:rPr>
          <w:sz w:val="28"/>
          <w:szCs w:val="28"/>
        </w:rPr>
        <w:t>另附</w:t>
      </w:r>
      <w:r>
        <w:rPr>
          <w:rFonts w:hint="eastAsia"/>
          <w:sz w:val="28"/>
          <w:szCs w:val="28"/>
        </w:rPr>
        <w:t>)</w:t>
      </w:r>
    </w:p>
    <w:p>
      <w:pPr>
        <w:pStyle w:val="19"/>
        <w:numPr>
          <w:ilvl w:val="0"/>
          <w:numId w:val="20"/>
        </w:numPr>
        <w:spacing w:before="240" w:beforeLines="100" w:line="360" w:lineRule="auto"/>
        <w:ind w:firstLineChars="0"/>
        <w:jc w:val="left"/>
      </w:pPr>
      <w:r>
        <w:rPr>
          <w:rFonts w:hint="eastAsia"/>
        </w:rPr>
        <w:t>乙方在甲方的设计提资图上进行设计，乙方完成各部件图的拆解细化，及优化、深化设计；</w:t>
      </w:r>
    </w:p>
    <w:p>
      <w:pPr>
        <w:pStyle w:val="19"/>
        <w:numPr>
          <w:ilvl w:val="0"/>
          <w:numId w:val="20"/>
        </w:numPr>
        <w:spacing w:before="240" w:beforeLines="100" w:line="360" w:lineRule="auto"/>
        <w:ind w:firstLineChars="0"/>
        <w:jc w:val="left"/>
      </w:pPr>
      <w:r>
        <w:rPr>
          <w:rFonts w:hint="eastAsia"/>
        </w:rPr>
        <w:t>以甲方提供的设计提资图作为设备验收图之一；主要双方确认及该协议进行验收；</w:t>
      </w:r>
    </w:p>
    <w:p>
      <w:pPr>
        <w:pStyle w:val="19"/>
        <w:numPr>
          <w:ilvl w:val="0"/>
          <w:numId w:val="20"/>
        </w:numPr>
        <w:spacing w:before="240" w:beforeLines="100" w:line="360" w:lineRule="auto"/>
        <w:ind w:firstLineChars="0"/>
        <w:jc w:val="left"/>
      </w:pPr>
      <w:r>
        <w:rPr>
          <w:rFonts w:hint="eastAsia" w:asciiTheme="minorEastAsia" w:hAnsiTheme="minorEastAsia" w:eastAsiaTheme="minorEastAsia" w:cstheme="minorEastAsia"/>
          <w:sz w:val="24"/>
        </w:rPr>
        <w:t>甲方提资设计图纸，乙方深化设计不得低于甲方提资深度及配置要求。</w:t>
      </w:r>
    </w:p>
    <w:p>
      <w:pPr>
        <w:pStyle w:val="19"/>
        <w:spacing w:before="240" w:beforeLines="100" w:line="360" w:lineRule="auto"/>
        <w:ind w:left="420" w:firstLine="0" w:firstLineChars="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技术</w:t>
      </w:r>
      <w:r>
        <w:rPr>
          <w:rFonts w:asciiTheme="minorEastAsia" w:hAnsiTheme="minorEastAsia" w:eastAsiaTheme="minorEastAsia" w:cstheme="minorEastAsia"/>
          <w:sz w:val="24"/>
        </w:rPr>
        <w:t>联系人：徐江澜</w:t>
      </w:r>
    </w:p>
    <w:p>
      <w:pPr>
        <w:pStyle w:val="19"/>
        <w:spacing w:before="240" w:beforeLines="100" w:line="360" w:lineRule="auto"/>
        <w:ind w:left="420" w:firstLine="0" w:firstLineChars="0"/>
        <w:jc w:val="right"/>
      </w:pPr>
      <w:r>
        <w:rPr>
          <w:rFonts w:hint="eastAsia" w:asciiTheme="minorEastAsia" w:hAnsiTheme="minorEastAsia" w:eastAsiaTheme="minorEastAsia" w:cstheme="minorEastAsia"/>
          <w:sz w:val="24"/>
        </w:rPr>
        <w:t>联系</w:t>
      </w:r>
      <w:r>
        <w:rPr>
          <w:rFonts w:asciiTheme="minorEastAsia" w:hAnsiTheme="minorEastAsia" w:eastAsiaTheme="minorEastAsia" w:cstheme="minorEastAsia"/>
          <w:sz w:val="24"/>
        </w:rPr>
        <w:t>方式：</w:t>
      </w:r>
      <w:r>
        <w:rPr>
          <w:rFonts w:hint="eastAsia" w:asciiTheme="minorEastAsia" w:hAnsiTheme="minorEastAsia" w:eastAsiaTheme="minorEastAsia" w:cstheme="minorEastAsia"/>
          <w:sz w:val="24"/>
        </w:rPr>
        <w:t>13027988347</w:t>
      </w:r>
    </w:p>
    <w:sectPr>
      <w:footerReference r:id="rId3" w:type="default"/>
      <w:pgSz w:w="11906" w:h="16838"/>
      <w:pgMar w:top="1276" w:right="1418" w:bottom="1559"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libri Light">
    <w:altName w:val="Arial"/>
    <w:panose1 w:val="020F0302020204030204"/>
    <w:charset w:val="00"/>
    <w:family w:val="swiss"/>
    <w:pitch w:val="default"/>
    <w:sig w:usb0="00000000" w:usb1="00000000" w:usb2="00000009" w:usb3="00000000" w:csb0="000001FF" w:csb1="00000000"/>
  </w:font>
  <w:font w:name="汉仪君黑KW 55J">
    <w:panose1 w:val="00020600040101010101"/>
    <w:charset w:val="86"/>
    <w:family w:val="auto"/>
    <w:pitch w:val="default"/>
    <w:sig w:usb0="A00002BF" w:usb1="0A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18</w:t>
    </w:r>
    <w:r>
      <w:rPr>
        <w:b/>
        <w:bCs/>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F6CEE"/>
    <w:multiLevelType w:val="singleLevel"/>
    <w:tmpl w:val="0A0F6CEE"/>
    <w:lvl w:ilvl="0" w:tentative="0">
      <w:start w:val="1"/>
      <w:numFmt w:val="decimal"/>
      <w:lvlText w:val="%1."/>
      <w:lvlJc w:val="left"/>
      <w:pPr>
        <w:ind w:left="425" w:hanging="425"/>
      </w:pPr>
      <w:rPr>
        <w:rFonts w:hint="default"/>
      </w:rPr>
    </w:lvl>
  </w:abstractNum>
  <w:abstractNum w:abstractNumId="1">
    <w:nsid w:val="0FB42983"/>
    <w:multiLevelType w:val="multilevel"/>
    <w:tmpl w:val="0FB42983"/>
    <w:lvl w:ilvl="0" w:tentative="0">
      <w:start w:val="1"/>
      <w:numFmt w:val="decimal"/>
      <w:lvlText w:val="%1."/>
      <w:lvlJc w:val="left"/>
      <w:pPr>
        <w:tabs>
          <w:tab w:val="left" w:pos="420"/>
        </w:tabs>
        <w:ind w:left="420" w:hanging="420"/>
      </w:pPr>
      <w:rPr>
        <w:rFonts w:hint="default" w:asciiTheme="minorHAnsi" w:hAnsiTheme="minorHAnsi"/>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81E6DCE"/>
    <w:multiLevelType w:val="multilevel"/>
    <w:tmpl w:val="181E6DCE"/>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BC284C"/>
    <w:multiLevelType w:val="multilevel"/>
    <w:tmpl w:val="1BBC284C"/>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C0E6FF6"/>
    <w:multiLevelType w:val="multilevel"/>
    <w:tmpl w:val="1C0E6FF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C1A4DC6"/>
    <w:multiLevelType w:val="multilevel"/>
    <w:tmpl w:val="1C1A4DC6"/>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CC26BD5"/>
    <w:multiLevelType w:val="multilevel"/>
    <w:tmpl w:val="1CC26BD5"/>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23A4603"/>
    <w:multiLevelType w:val="multilevel"/>
    <w:tmpl w:val="223A46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9D33497"/>
    <w:multiLevelType w:val="multilevel"/>
    <w:tmpl w:val="29D33497"/>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DA379D5"/>
    <w:multiLevelType w:val="multilevel"/>
    <w:tmpl w:val="2DA379D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05568F1"/>
    <w:multiLevelType w:val="multilevel"/>
    <w:tmpl w:val="305568F1"/>
    <w:lvl w:ilvl="0" w:tentative="0">
      <w:start w:val="1"/>
      <w:numFmt w:val="decimal"/>
      <w:lvlText w:val="%1."/>
      <w:lvlJc w:val="left"/>
      <w:pPr>
        <w:ind w:left="563" w:hanging="420"/>
      </w:p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1">
    <w:nsid w:val="4D6E35D8"/>
    <w:multiLevelType w:val="multilevel"/>
    <w:tmpl w:val="4D6E35D8"/>
    <w:lvl w:ilvl="0" w:tentative="0">
      <w:start w:val="1"/>
      <w:numFmt w:val="decimal"/>
      <w:lvlText w:val="%1."/>
      <w:lvlJc w:val="left"/>
      <w:pPr>
        <w:tabs>
          <w:tab w:val="left" w:pos="420"/>
        </w:tabs>
        <w:ind w:left="420" w:hanging="420"/>
      </w:pPr>
      <w:rPr>
        <w:rFonts w:hint="default" w:asciiTheme="minorHAnsi" w:hAnsiTheme="minorHAnsi"/>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5DE7773"/>
    <w:multiLevelType w:val="multilevel"/>
    <w:tmpl w:val="55DE7773"/>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65836C6"/>
    <w:multiLevelType w:val="multilevel"/>
    <w:tmpl w:val="565836C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F2F5BCF"/>
    <w:multiLevelType w:val="multilevel"/>
    <w:tmpl w:val="5F2F5BCF"/>
    <w:lvl w:ilvl="0" w:tentative="0">
      <w:start w:val="1"/>
      <w:numFmt w:val="decimal"/>
      <w:lvlText w:val="%1."/>
      <w:lvlJc w:val="left"/>
      <w:pPr>
        <w:tabs>
          <w:tab w:val="left" w:pos="420"/>
        </w:tabs>
        <w:ind w:left="420" w:hanging="420"/>
      </w:pPr>
      <w:rPr>
        <w:rFonts w:hint="default" w:eastAsia="宋体" w:cs="Times New Roman" w:asciiTheme="minorHAnsi" w:hAnsiTheme="minorHAnsi"/>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6177613D"/>
    <w:multiLevelType w:val="multilevel"/>
    <w:tmpl w:val="6177613D"/>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D592C34"/>
    <w:multiLevelType w:val="multilevel"/>
    <w:tmpl w:val="6D592C3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FE6814"/>
    <w:multiLevelType w:val="multilevel"/>
    <w:tmpl w:val="75FE6814"/>
    <w:lvl w:ilvl="0" w:tentative="0">
      <w:start w:val="1"/>
      <w:numFmt w:val="decimal"/>
      <w:lvlText w:val="%1."/>
      <w:lvlJc w:val="left"/>
      <w:pPr>
        <w:tabs>
          <w:tab w:val="left" w:pos="420"/>
        </w:tabs>
        <w:ind w:left="420" w:hanging="420"/>
      </w:pPr>
      <w:rPr>
        <w:rFonts w:asciiTheme="majorEastAsia" w:hAnsiTheme="majorEastAsia" w:eastAsiaTheme="major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EA85863"/>
    <w:multiLevelType w:val="multilevel"/>
    <w:tmpl w:val="7EA85863"/>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F102E6"/>
    <w:multiLevelType w:val="multilevel"/>
    <w:tmpl w:val="7FF102E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11"/>
  </w:num>
  <w:num w:numId="3">
    <w:abstractNumId w:val="1"/>
  </w:num>
  <w:num w:numId="4">
    <w:abstractNumId w:val="14"/>
  </w:num>
  <w:num w:numId="5">
    <w:abstractNumId w:val="7"/>
  </w:num>
  <w:num w:numId="6">
    <w:abstractNumId w:val="17"/>
  </w:num>
  <w:num w:numId="7">
    <w:abstractNumId w:val="4"/>
  </w:num>
  <w:num w:numId="8">
    <w:abstractNumId w:val="9"/>
  </w:num>
  <w:num w:numId="9">
    <w:abstractNumId w:val="19"/>
  </w:num>
  <w:num w:numId="10">
    <w:abstractNumId w:val="15"/>
  </w:num>
  <w:num w:numId="11">
    <w:abstractNumId w:val="3"/>
  </w:num>
  <w:num w:numId="12">
    <w:abstractNumId w:val="2"/>
  </w:num>
  <w:num w:numId="13">
    <w:abstractNumId w:val="12"/>
  </w:num>
  <w:num w:numId="14">
    <w:abstractNumId w:val="8"/>
  </w:num>
  <w:num w:numId="15">
    <w:abstractNumId w:val="6"/>
  </w:num>
  <w:num w:numId="16">
    <w:abstractNumId w:val="18"/>
  </w:num>
  <w:num w:numId="17">
    <w:abstractNumId w:val="5"/>
  </w:num>
  <w:num w:numId="18">
    <w:abstractNumId w:val="0"/>
  </w:num>
  <w:num w:numId="19">
    <w:abstractNumId w:val="1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5YTY4NGQxMGU2ZWY4MDgzZTEyNDk2YzJlNDYzNTkifQ=="/>
  </w:docVars>
  <w:rsids>
    <w:rsidRoot w:val="509A0128"/>
    <w:rsid w:val="00055A2C"/>
    <w:rsid w:val="000A2CC7"/>
    <w:rsid w:val="000A61D1"/>
    <w:rsid w:val="000A630B"/>
    <w:rsid w:val="000C3435"/>
    <w:rsid w:val="000C6C7F"/>
    <w:rsid w:val="000F0BE8"/>
    <w:rsid w:val="000F2579"/>
    <w:rsid w:val="00101A14"/>
    <w:rsid w:val="00105918"/>
    <w:rsid w:val="00131DD0"/>
    <w:rsid w:val="001618E8"/>
    <w:rsid w:val="001809FA"/>
    <w:rsid w:val="0018451B"/>
    <w:rsid w:val="00192826"/>
    <w:rsid w:val="001E282D"/>
    <w:rsid w:val="001E4C9D"/>
    <w:rsid w:val="001F18B9"/>
    <w:rsid w:val="001F730C"/>
    <w:rsid w:val="002140B9"/>
    <w:rsid w:val="002938DC"/>
    <w:rsid w:val="002C67D8"/>
    <w:rsid w:val="002D15CA"/>
    <w:rsid w:val="002E1E6E"/>
    <w:rsid w:val="00310392"/>
    <w:rsid w:val="003140A3"/>
    <w:rsid w:val="0032275E"/>
    <w:rsid w:val="00325EDD"/>
    <w:rsid w:val="00345302"/>
    <w:rsid w:val="00351E70"/>
    <w:rsid w:val="003536A5"/>
    <w:rsid w:val="00357BBB"/>
    <w:rsid w:val="003764AB"/>
    <w:rsid w:val="003923CB"/>
    <w:rsid w:val="003B0E7F"/>
    <w:rsid w:val="003B5437"/>
    <w:rsid w:val="003F2A06"/>
    <w:rsid w:val="00416CD4"/>
    <w:rsid w:val="004176A1"/>
    <w:rsid w:val="00426931"/>
    <w:rsid w:val="00447ED0"/>
    <w:rsid w:val="00473E3E"/>
    <w:rsid w:val="004D4CAC"/>
    <w:rsid w:val="004D4F8F"/>
    <w:rsid w:val="004D7E5A"/>
    <w:rsid w:val="004E5564"/>
    <w:rsid w:val="00524C95"/>
    <w:rsid w:val="0056277B"/>
    <w:rsid w:val="00596EF1"/>
    <w:rsid w:val="005C5AEE"/>
    <w:rsid w:val="006231D2"/>
    <w:rsid w:val="006A0CBD"/>
    <w:rsid w:val="006C27A1"/>
    <w:rsid w:val="006C6CB5"/>
    <w:rsid w:val="00712844"/>
    <w:rsid w:val="00713108"/>
    <w:rsid w:val="0073631C"/>
    <w:rsid w:val="0075401E"/>
    <w:rsid w:val="007857D3"/>
    <w:rsid w:val="0080184B"/>
    <w:rsid w:val="008058B0"/>
    <w:rsid w:val="00810CBE"/>
    <w:rsid w:val="00835F3E"/>
    <w:rsid w:val="00846F3A"/>
    <w:rsid w:val="00866CFD"/>
    <w:rsid w:val="00875B57"/>
    <w:rsid w:val="00876843"/>
    <w:rsid w:val="008836E9"/>
    <w:rsid w:val="0089465A"/>
    <w:rsid w:val="008D0FBF"/>
    <w:rsid w:val="008E5B88"/>
    <w:rsid w:val="00902E85"/>
    <w:rsid w:val="00911285"/>
    <w:rsid w:val="009A2883"/>
    <w:rsid w:val="009C1172"/>
    <w:rsid w:val="009F4BD5"/>
    <w:rsid w:val="00A62B42"/>
    <w:rsid w:val="00A71279"/>
    <w:rsid w:val="00AB6176"/>
    <w:rsid w:val="00AB7FA5"/>
    <w:rsid w:val="00AF3F61"/>
    <w:rsid w:val="00B01B62"/>
    <w:rsid w:val="00B565ED"/>
    <w:rsid w:val="00B70102"/>
    <w:rsid w:val="00BA632E"/>
    <w:rsid w:val="00BB19E2"/>
    <w:rsid w:val="00C115B8"/>
    <w:rsid w:val="00C25744"/>
    <w:rsid w:val="00C2773D"/>
    <w:rsid w:val="00C35559"/>
    <w:rsid w:val="00C437D6"/>
    <w:rsid w:val="00C87810"/>
    <w:rsid w:val="00CB6EF8"/>
    <w:rsid w:val="00CD1136"/>
    <w:rsid w:val="00CD24F5"/>
    <w:rsid w:val="00CE3C9E"/>
    <w:rsid w:val="00CF3FB2"/>
    <w:rsid w:val="00D06B32"/>
    <w:rsid w:val="00D10829"/>
    <w:rsid w:val="00D15200"/>
    <w:rsid w:val="00D2593E"/>
    <w:rsid w:val="00D53075"/>
    <w:rsid w:val="00D67ECC"/>
    <w:rsid w:val="00D93CB4"/>
    <w:rsid w:val="00D97120"/>
    <w:rsid w:val="00DA514A"/>
    <w:rsid w:val="00DC5D8D"/>
    <w:rsid w:val="00DE481E"/>
    <w:rsid w:val="00DF7E51"/>
    <w:rsid w:val="00E0508F"/>
    <w:rsid w:val="00E13117"/>
    <w:rsid w:val="00E20F95"/>
    <w:rsid w:val="00E23728"/>
    <w:rsid w:val="00E5237E"/>
    <w:rsid w:val="00E62256"/>
    <w:rsid w:val="00E66AF2"/>
    <w:rsid w:val="00E766AB"/>
    <w:rsid w:val="00E82A5A"/>
    <w:rsid w:val="00E82E6A"/>
    <w:rsid w:val="00E83F41"/>
    <w:rsid w:val="00E95897"/>
    <w:rsid w:val="00EA66B7"/>
    <w:rsid w:val="00ED5136"/>
    <w:rsid w:val="00EF0A25"/>
    <w:rsid w:val="00F0028A"/>
    <w:rsid w:val="00F0471E"/>
    <w:rsid w:val="00F06F59"/>
    <w:rsid w:val="00F337DA"/>
    <w:rsid w:val="00F70AA0"/>
    <w:rsid w:val="00F72F65"/>
    <w:rsid w:val="00F83B37"/>
    <w:rsid w:val="00F85712"/>
    <w:rsid w:val="00FA08EC"/>
    <w:rsid w:val="00FD041F"/>
    <w:rsid w:val="00FF74E9"/>
    <w:rsid w:val="010E3B97"/>
    <w:rsid w:val="01565891"/>
    <w:rsid w:val="017A33B4"/>
    <w:rsid w:val="01A254BB"/>
    <w:rsid w:val="01A40817"/>
    <w:rsid w:val="01C60B40"/>
    <w:rsid w:val="02361B83"/>
    <w:rsid w:val="02656D8C"/>
    <w:rsid w:val="02F51247"/>
    <w:rsid w:val="037073F7"/>
    <w:rsid w:val="03F72897"/>
    <w:rsid w:val="042E3126"/>
    <w:rsid w:val="04463868"/>
    <w:rsid w:val="04670BB8"/>
    <w:rsid w:val="04F24C66"/>
    <w:rsid w:val="05171BC5"/>
    <w:rsid w:val="057E5F46"/>
    <w:rsid w:val="0640337F"/>
    <w:rsid w:val="067D748C"/>
    <w:rsid w:val="06FE3D2F"/>
    <w:rsid w:val="073C5C9F"/>
    <w:rsid w:val="07721182"/>
    <w:rsid w:val="07F86AC4"/>
    <w:rsid w:val="0842383A"/>
    <w:rsid w:val="08502AAB"/>
    <w:rsid w:val="08713EBD"/>
    <w:rsid w:val="08F828A9"/>
    <w:rsid w:val="0903454D"/>
    <w:rsid w:val="096769D7"/>
    <w:rsid w:val="09AD465B"/>
    <w:rsid w:val="09F42406"/>
    <w:rsid w:val="0A520331"/>
    <w:rsid w:val="0A7C0BA6"/>
    <w:rsid w:val="0AAB0D8C"/>
    <w:rsid w:val="0ADC1CB2"/>
    <w:rsid w:val="0AE77B33"/>
    <w:rsid w:val="0AEE00CB"/>
    <w:rsid w:val="0AFC2A76"/>
    <w:rsid w:val="0B9113C9"/>
    <w:rsid w:val="0BA16720"/>
    <w:rsid w:val="0BEA2E18"/>
    <w:rsid w:val="0BF36B95"/>
    <w:rsid w:val="0C466F17"/>
    <w:rsid w:val="0C787EBA"/>
    <w:rsid w:val="0D0C7F2D"/>
    <w:rsid w:val="0D2A7AC7"/>
    <w:rsid w:val="0D806FBF"/>
    <w:rsid w:val="0E5434E9"/>
    <w:rsid w:val="0EFF7F15"/>
    <w:rsid w:val="0F1F4CEC"/>
    <w:rsid w:val="0F846722"/>
    <w:rsid w:val="0F847DFE"/>
    <w:rsid w:val="0FEFF634"/>
    <w:rsid w:val="1010588A"/>
    <w:rsid w:val="10B17C2B"/>
    <w:rsid w:val="10C00F09"/>
    <w:rsid w:val="11235F96"/>
    <w:rsid w:val="119717F6"/>
    <w:rsid w:val="1214741F"/>
    <w:rsid w:val="12674B62"/>
    <w:rsid w:val="12712B6C"/>
    <w:rsid w:val="12A56801"/>
    <w:rsid w:val="12F87028"/>
    <w:rsid w:val="133C3F1F"/>
    <w:rsid w:val="13816E80"/>
    <w:rsid w:val="13C608C2"/>
    <w:rsid w:val="13CDAC0F"/>
    <w:rsid w:val="147B119A"/>
    <w:rsid w:val="14D83DE9"/>
    <w:rsid w:val="14E45803"/>
    <w:rsid w:val="14FA4486"/>
    <w:rsid w:val="150B3F69"/>
    <w:rsid w:val="150D619F"/>
    <w:rsid w:val="15AA1948"/>
    <w:rsid w:val="15E90038"/>
    <w:rsid w:val="165D0C67"/>
    <w:rsid w:val="16DD1B58"/>
    <w:rsid w:val="173D1ADD"/>
    <w:rsid w:val="17465999"/>
    <w:rsid w:val="1760518A"/>
    <w:rsid w:val="17BA444B"/>
    <w:rsid w:val="17E22584"/>
    <w:rsid w:val="17F76D8D"/>
    <w:rsid w:val="17F844F4"/>
    <w:rsid w:val="181A433D"/>
    <w:rsid w:val="18797973"/>
    <w:rsid w:val="18A806E1"/>
    <w:rsid w:val="18AC1625"/>
    <w:rsid w:val="1913513B"/>
    <w:rsid w:val="19625963"/>
    <w:rsid w:val="19EB1B3B"/>
    <w:rsid w:val="1A6A31A4"/>
    <w:rsid w:val="1A7334F2"/>
    <w:rsid w:val="1A813E1F"/>
    <w:rsid w:val="1AEB4E5A"/>
    <w:rsid w:val="1B1D128F"/>
    <w:rsid w:val="1C5050A3"/>
    <w:rsid w:val="1D1B6A6B"/>
    <w:rsid w:val="1D5630E1"/>
    <w:rsid w:val="1DC83FA9"/>
    <w:rsid w:val="1E7EFC48"/>
    <w:rsid w:val="1EC57C1A"/>
    <w:rsid w:val="1EE238E2"/>
    <w:rsid w:val="1F1C6BD2"/>
    <w:rsid w:val="1FB7D847"/>
    <w:rsid w:val="1FBFFA80"/>
    <w:rsid w:val="1FC273CF"/>
    <w:rsid w:val="202F2819"/>
    <w:rsid w:val="203B071F"/>
    <w:rsid w:val="2055461F"/>
    <w:rsid w:val="20C41500"/>
    <w:rsid w:val="21104C2B"/>
    <w:rsid w:val="211E3033"/>
    <w:rsid w:val="219F4171"/>
    <w:rsid w:val="21A06D68"/>
    <w:rsid w:val="21A60F56"/>
    <w:rsid w:val="2293597D"/>
    <w:rsid w:val="23430F50"/>
    <w:rsid w:val="239369CB"/>
    <w:rsid w:val="23E1739F"/>
    <w:rsid w:val="23FB4B1B"/>
    <w:rsid w:val="24480362"/>
    <w:rsid w:val="244F050B"/>
    <w:rsid w:val="246E15AC"/>
    <w:rsid w:val="24DC551E"/>
    <w:rsid w:val="251E7152"/>
    <w:rsid w:val="25E6208A"/>
    <w:rsid w:val="2614228D"/>
    <w:rsid w:val="26147DE9"/>
    <w:rsid w:val="26391639"/>
    <w:rsid w:val="27A30C4C"/>
    <w:rsid w:val="27DD2098"/>
    <w:rsid w:val="2919202B"/>
    <w:rsid w:val="29D471D8"/>
    <w:rsid w:val="29D70774"/>
    <w:rsid w:val="29EA687B"/>
    <w:rsid w:val="2A91318F"/>
    <w:rsid w:val="2A9302BE"/>
    <w:rsid w:val="2AB56E7C"/>
    <w:rsid w:val="2B227309"/>
    <w:rsid w:val="2B2A13FF"/>
    <w:rsid w:val="2B504431"/>
    <w:rsid w:val="2B863CEC"/>
    <w:rsid w:val="2C462C2A"/>
    <w:rsid w:val="2C824332"/>
    <w:rsid w:val="2C904392"/>
    <w:rsid w:val="2D2A7268"/>
    <w:rsid w:val="2EBB5CC1"/>
    <w:rsid w:val="2EE8161A"/>
    <w:rsid w:val="2EFF5046"/>
    <w:rsid w:val="2FF0489C"/>
    <w:rsid w:val="30156ACB"/>
    <w:rsid w:val="30852EE8"/>
    <w:rsid w:val="30DF680C"/>
    <w:rsid w:val="310A19E3"/>
    <w:rsid w:val="316B5A79"/>
    <w:rsid w:val="31BB186F"/>
    <w:rsid w:val="320667C6"/>
    <w:rsid w:val="331016B2"/>
    <w:rsid w:val="3361078B"/>
    <w:rsid w:val="337AF966"/>
    <w:rsid w:val="34450A02"/>
    <w:rsid w:val="355072C7"/>
    <w:rsid w:val="35697973"/>
    <w:rsid w:val="35FC23FE"/>
    <w:rsid w:val="361C76A1"/>
    <w:rsid w:val="362750B3"/>
    <w:rsid w:val="363870C8"/>
    <w:rsid w:val="369972D6"/>
    <w:rsid w:val="36C92263"/>
    <w:rsid w:val="375B754C"/>
    <w:rsid w:val="37DE6FEF"/>
    <w:rsid w:val="37FF88C6"/>
    <w:rsid w:val="387B28CA"/>
    <w:rsid w:val="38C83C36"/>
    <w:rsid w:val="38CA14D8"/>
    <w:rsid w:val="38CD5604"/>
    <w:rsid w:val="38E144A4"/>
    <w:rsid w:val="39402875"/>
    <w:rsid w:val="3A0A31D9"/>
    <w:rsid w:val="3A30658C"/>
    <w:rsid w:val="3AD57273"/>
    <w:rsid w:val="3AFC4C40"/>
    <w:rsid w:val="3B3BF08F"/>
    <w:rsid w:val="3B814C27"/>
    <w:rsid w:val="3E7B730C"/>
    <w:rsid w:val="3E865E16"/>
    <w:rsid w:val="3EC33728"/>
    <w:rsid w:val="3EF60556"/>
    <w:rsid w:val="3EFFA835"/>
    <w:rsid w:val="3F5F7C5E"/>
    <w:rsid w:val="3FB90C8B"/>
    <w:rsid w:val="3FF856DC"/>
    <w:rsid w:val="40110524"/>
    <w:rsid w:val="40631C62"/>
    <w:rsid w:val="40A9619C"/>
    <w:rsid w:val="40C440B9"/>
    <w:rsid w:val="41835463"/>
    <w:rsid w:val="41872F57"/>
    <w:rsid w:val="41962056"/>
    <w:rsid w:val="41B11F47"/>
    <w:rsid w:val="41EA06E9"/>
    <w:rsid w:val="41F77F9E"/>
    <w:rsid w:val="42055AE3"/>
    <w:rsid w:val="421F1B75"/>
    <w:rsid w:val="42DC2D25"/>
    <w:rsid w:val="43272B64"/>
    <w:rsid w:val="4348053F"/>
    <w:rsid w:val="446A4811"/>
    <w:rsid w:val="44B813D4"/>
    <w:rsid w:val="44E83D6D"/>
    <w:rsid w:val="45102F4B"/>
    <w:rsid w:val="45633A3C"/>
    <w:rsid w:val="45683707"/>
    <w:rsid w:val="458A4B1F"/>
    <w:rsid w:val="45A86EB7"/>
    <w:rsid w:val="45F4055D"/>
    <w:rsid w:val="465A0A9E"/>
    <w:rsid w:val="466B3387"/>
    <w:rsid w:val="47420A36"/>
    <w:rsid w:val="474E0064"/>
    <w:rsid w:val="479A18A0"/>
    <w:rsid w:val="48B01383"/>
    <w:rsid w:val="48F411EE"/>
    <w:rsid w:val="494207A7"/>
    <w:rsid w:val="494E494B"/>
    <w:rsid w:val="496F2FF4"/>
    <w:rsid w:val="499653F9"/>
    <w:rsid w:val="49DD42F7"/>
    <w:rsid w:val="4A904CC0"/>
    <w:rsid w:val="4A9649C8"/>
    <w:rsid w:val="4B1D1056"/>
    <w:rsid w:val="4B977274"/>
    <w:rsid w:val="4B9C7F3E"/>
    <w:rsid w:val="4BF87E0B"/>
    <w:rsid w:val="4C8327A9"/>
    <w:rsid w:val="4CFC5E15"/>
    <w:rsid w:val="4DBA70FF"/>
    <w:rsid w:val="4DFB5F07"/>
    <w:rsid w:val="4E122624"/>
    <w:rsid w:val="4EF6201C"/>
    <w:rsid w:val="4F4F3561"/>
    <w:rsid w:val="50190B9E"/>
    <w:rsid w:val="5023548A"/>
    <w:rsid w:val="504266E9"/>
    <w:rsid w:val="509A0128"/>
    <w:rsid w:val="513F34AE"/>
    <w:rsid w:val="51893501"/>
    <w:rsid w:val="52313E1F"/>
    <w:rsid w:val="524C6B42"/>
    <w:rsid w:val="52752915"/>
    <w:rsid w:val="52790205"/>
    <w:rsid w:val="52B60CE3"/>
    <w:rsid w:val="52CD60BE"/>
    <w:rsid w:val="53D61C6F"/>
    <w:rsid w:val="541774EA"/>
    <w:rsid w:val="54853250"/>
    <w:rsid w:val="551E56CA"/>
    <w:rsid w:val="55A24AD2"/>
    <w:rsid w:val="560B1A36"/>
    <w:rsid w:val="56212408"/>
    <w:rsid w:val="565C6C7E"/>
    <w:rsid w:val="577C28BE"/>
    <w:rsid w:val="579FEE2B"/>
    <w:rsid w:val="57A7303C"/>
    <w:rsid w:val="580223E2"/>
    <w:rsid w:val="58222DCF"/>
    <w:rsid w:val="58264F87"/>
    <w:rsid w:val="58290699"/>
    <w:rsid w:val="586E3647"/>
    <w:rsid w:val="59084281"/>
    <w:rsid w:val="59BD4F94"/>
    <w:rsid w:val="59C52D90"/>
    <w:rsid w:val="59FD276B"/>
    <w:rsid w:val="5A325038"/>
    <w:rsid w:val="5A772628"/>
    <w:rsid w:val="5A782B32"/>
    <w:rsid w:val="5A796E43"/>
    <w:rsid w:val="5A8F0F2D"/>
    <w:rsid w:val="5AE106CF"/>
    <w:rsid w:val="5B373C1B"/>
    <w:rsid w:val="5B671DFA"/>
    <w:rsid w:val="5B9C2CB9"/>
    <w:rsid w:val="5BBE387E"/>
    <w:rsid w:val="5BEB5295"/>
    <w:rsid w:val="5C65791A"/>
    <w:rsid w:val="5C850E74"/>
    <w:rsid w:val="5C8D5AC7"/>
    <w:rsid w:val="5D17223C"/>
    <w:rsid w:val="5D37017C"/>
    <w:rsid w:val="5D970A0A"/>
    <w:rsid w:val="5DF550FE"/>
    <w:rsid w:val="5E1413C9"/>
    <w:rsid w:val="5E58518B"/>
    <w:rsid w:val="5E7A4674"/>
    <w:rsid w:val="5EC13705"/>
    <w:rsid w:val="5EC30454"/>
    <w:rsid w:val="5EFE5CD4"/>
    <w:rsid w:val="5F1F6BDC"/>
    <w:rsid w:val="5F245707"/>
    <w:rsid w:val="5FADCB3E"/>
    <w:rsid w:val="5FAF50E6"/>
    <w:rsid w:val="5FB46E2A"/>
    <w:rsid w:val="5FD7773B"/>
    <w:rsid w:val="5FE11868"/>
    <w:rsid w:val="5FE1419F"/>
    <w:rsid w:val="5FE44EB2"/>
    <w:rsid w:val="5FF439C8"/>
    <w:rsid w:val="60F36D67"/>
    <w:rsid w:val="60FA4864"/>
    <w:rsid w:val="61236172"/>
    <w:rsid w:val="61614C7B"/>
    <w:rsid w:val="616F4EAF"/>
    <w:rsid w:val="61947A4C"/>
    <w:rsid w:val="620E4992"/>
    <w:rsid w:val="62EE0308"/>
    <w:rsid w:val="633A000C"/>
    <w:rsid w:val="639D3DDE"/>
    <w:rsid w:val="63AC3C69"/>
    <w:rsid w:val="64004A72"/>
    <w:rsid w:val="64680D65"/>
    <w:rsid w:val="65E8273E"/>
    <w:rsid w:val="66186759"/>
    <w:rsid w:val="66833198"/>
    <w:rsid w:val="66BA2392"/>
    <w:rsid w:val="675A7E29"/>
    <w:rsid w:val="67694046"/>
    <w:rsid w:val="67774A29"/>
    <w:rsid w:val="678260FE"/>
    <w:rsid w:val="67FA3C50"/>
    <w:rsid w:val="68014586"/>
    <w:rsid w:val="680936C1"/>
    <w:rsid w:val="682A6AAC"/>
    <w:rsid w:val="68FB6E19"/>
    <w:rsid w:val="69165F15"/>
    <w:rsid w:val="692A71F4"/>
    <w:rsid w:val="6990477B"/>
    <w:rsid w:val="69CB1712"/>
    <w:rsid w:val="69FECF1A"/>
    <w:rsid w:val="6A545609"/>
    <w:rsid w:val="6ACC3A80"/>
    <w:rsid w:val="6AEF20D7"/>
    <w:rsid w:val="6B648E03"/>
    <w:rsid w:val="6B941A92"/>
    <w:rsid w:val="6BA85826"/>
    <w:rsid w:val="6BBC5127"/>
    <w:rsid w:val="6BC40328"/>
    <w:rsid w:val="6BFE1BB4"/>
    <w:rsid w:val="6C103C19"/>
    <w:rsid w:val="6C496585"/>
    <w:rsid w:val="6CC10EBE"/>
    <w:rsid w:val="6D8C2828"/>
    <w:rsid w:val="6E351DC1"/>
    <w:rsid w:val="6EF60BF3"/>
    <w:rsid w:val="6FF1026C"/>
    <w:rsid w:val="70275BD8"/>
    <w:rsid w:val="70531648"/>
    <w:rsid w:val="70876E6A"/>
    <w:rsid w:val="709A77E0"/>
    <w:rsid w:val="713A3C9D"/>
    <w:rsid w:val="72135EED"/>
    <w:rsid w:val="726B5DF7"/>
    <w:rsid w:val="727D459A"/>
    <w:rsid w:val="72BC41DE"/>
    <w:rsid w:val="72F06ACD"/>
    <w:rsid w:val="73604DF1"/>
    <w:rsid w:val="73E57EBA"/>
    <w:rsid w:val="740751C3"/>
    <w:rsid w:val="741C3071"/>
    <w:rsid w:val="743339BC"/>
    <w:rsid w:val="747175BB"/>
    <w:rsid w:val="748676F2"/>
    <w:rsid w:val="74F23DD0"/>
    <w:rsid w:val="75083718"/>
    <w:rsid w:val="75BB5B17"/>
    <w:rsid w:val="760B48EC"/>
    <w:rsid w:val="7656C5B0"/>
    <w:rsid w:val="766F0236"/>
    <w:rsid w:val="76A87FBC"/>
    <w:rsid w:val="76E7525F"/>
    <w:rsid w:val="76EF38E1"/>
    <w:rsid w:val="77143DD5"/>
    <w:rsid w:val="771A20D4"/>
    <w:rsid w:val="77C5186C"/>
    <w:rsid w:val="77C94F81"/>
    <w:rsid w:val="77DFCFC0"/>
    <w:rsid w:val="77EF190D"/>
    <w:rsid w:val="780C671B"/>
    <w:rsid w:val="78C30556"/>
    <w:rsid w:val="79156C00"/>
    <w:rsid w:val="79435592"/>
    <w:rsid w:val="7A42693A"/>
    <w:rsid w:val="7A8718E6"/>
    <w:rsid w:val="7A8973FA"/>
    <w:rsid w:val="7A960EE7"/>
    <w:rsid w:val="7AB97461"/>
    <w:rsid w:val="7AF7232C"/>
    <w:rsid w:val="7B5063D0"/>
    <w:rsid w:val="7B5E6F88"/>
    <w:rsid w:val="7BC22724"/>
    <w:rsid w:val="7BEA56F8"/>
    <w:rsid w:val="7BF199A7"/>
    <w:rsid w:val="7BF8352F"/>
    <w:rsid w:val="7C073B83"/>
    <w:rsid w:val="7C2C5ABD"/>
    <w:rsid w:val="7C6705C7"/>
    <w:rsid w:val="7CC87E16"/>
    <w:rsid w:val="7CE10D8F"/>
    <w:rsid w:val="7D5E11A5"/>
    <w:rsid w:val="7D846A1D"/>
    <w:rsid w:val="7DEE396D"/>
    <w:rsid w:val="7DF25C3B"/>
    <w:rsid w:val="7DF5FE55"/>
    <w:rsid w:val="7DFE54E5"/>
    <w:rsid w:val="7E0329C8"/>
    <w:rsid w:val="7E3C5EA5"/>
    <w:rsid w:val="7E5E00B6"/>
    <w:rsid w:val="7EDD8111"/>
    <w:rsid w:val="7EDE68F7"/>
    <w:rsid w:val="7F2A0847"/>
    <w:rsid w:val="7FEB6266"/>
    <w:rsid w:val="7FEDEDCB"/>
    <w:rsid w:val="7FEEC993"/>
    <w:rsid w:val="9AFA49A3"/>
    <w:rsid w:val="B2B92B8C"/>
    <w:rsid w:val="B9CEF05B"/>
    <w:rsid w:val="BE4D056E"/>
    <w:rsid w:val="CBEF7B45"/>
    <w:rsid w:val="DEBE7359"/>
    <w:rsid w:val="DFF703DE"/>
    <w:rsid w:val="EFFF2ABD"/>
    <w:rsid w:val="F3BFCFCF"/>
    <w:rsid w:val="F8FDABAF"/>
    <w:rsid w:val="F93F6C92"/>
    <w:rsid w:val="F9B6528C"/>
    <w:rsid w:val="F9BFC72C"/>
    <w:rsid w:val="FCCA7AD9"/>
    <w:rsid w:val="FDBF803B"/>
    <w:rsid w:val="FDFE0100"/>
    <w:rsid w:val="FF2BF441"/>
    <w:rsid w:val="FF7F445D"/>
    <w:rsid w:val="FFFF7F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7"/>
    <w:semiHidden/>
    <w:unhideWhenUsed/>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6">
    <w:name w:val="annotation text"/>
    <w:basedOn w:val="1"/>
    <w:link w:val="31"/>
    <w:qFormat/>
    <w:uiPriority w:val="0"/>
    <w:pPr>
      <w:jc w:val="left"/>
    </w:pPr>
  </w:style>
  <w:style w:type="paragraph" w:styleId="7">
    <w:name w:val="Body Text"/>
    <w:basedOn w:val="1"/>
    <w:link w:val="26"/>
    <w:qFormat/>
    <w:uiPriority w:val="0"/>
    <w:pPr>
      <w:spacing w:after="120"/>
    </w:pPr>
  </w:style>
  <w:style w:type="paragraph" w:styleId="8">
    <w:name w:val="Body Text Indent"/>
    <w:basedOn w:val="1"/>
    <w:unhideWhenUsed/>
    <w:qFormat/>
    <w:uiPriority w:val="99"/>
    <w:pPr>
      <w:spacing w:after="120"/>
      <w:ind w:left="420" w:leftChars="200"/>
    </w:pPr>
  </w:style>
  <w:style w:type="paragraph" w:styleId="9">
    <w:name w:val="Balloon Text"/>
    <w:basedOn w:val="1"/>
    <w:link w:val="22"/>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qFormat/>
    <w:uiPriority w:val="0"/>
    <w:rPr>
      <w:sz w:val="24"/>
    </w:rPr>
  </w:style>
  <w:style w:type="paragraph" w:styleId="13">
    <w:name w:val="Title"/>
    <w:basedOn w:val="1"/>
    <w:next w:val="1"/>
    <w:link w:val="30"/>
    <w:qFormat/>
    <w:uiPriority w:val="0"/>
    <w:pPr>
      <w:spacing w:before="240" w:after="60"/>
      <w:jc w:val="center"/>
      <w:outlineLvl w:val="0"/>
    </w:pPr>
    <w:rPr>
      <w:rFonts w:asciiTheme="majorHAnsi" w:hAnsiTheme="majorHAnsi" w:eastAsiaTheme="majorEastAsia" w:cstheme="majorBidi"/>
      <w:b/>
      <w:bCs/>
      <w:sz w:val="32"/>
      <w:szCs w:val="32"/>
    </w:rPr>
  </w:style>
  <w:style w:type="paragraph" w:styleId="14">
    <w:name w:val="annotation subject"/>
    <w:basedOn w:val="6"/>
    <w:next w:val="6"/>
    <w:link w:val="32"/>
    <w:qFormat/>
    <w:uiPriority w:val="0"/>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paragraph" w:styleId="19">
    <w:name w:val="List Paragraph"/>
    <w:basedOn w:val="1"/>
    <w:link w:val="29"/>
    <w:qFormat/>
    <w:uiPriority w:val="34"/>
    <w:pPr>
      <w:ind w:firstLine="420" w:firstLineChars="200"/>
    </w:pPr>
    <w:rPr>
      <w:rFonts w:ascii="Times New Roman" w:hAnsi="Times New Roman"/>
      <w:szCs w:val="24"/>
    </w:rPr>
  </w:style>
  <w:style w:type="paragraph" w:customStyle="1" w:styleId="20">
    <w:name w:val="Char Char Char Char"/>
    <w:basedOn w:val="1"/>
    <w:qFormat/>
    <w:uiPriority w:val="0"/>
    <w:pPr>
      <w:adjustRightInd w:val="0"/>
      <w:snapToGrid w:val="0"/>
      <w:spacing w:beforeLines="50" w:afterLines="50" w:line="360" w:lineRule="auto"/>
      <w:jc w:val="left"/>
    </w:pPr>
    <w:rPr>
      <w:rFonts w:ascii="宋体" w:hAnsi="宋体"/>
      <w:color w:val="000000"/>
      <w:sz w:val="24"/>
      <w:szCs w:val="24"/>
    </w:rPr>
  </w:style>
  <w:style w:type="paragraph" w:customStyle="1" w:styleId="21">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22">
    <w:name w:val="批注框文本 字符"/>
    <w:basedOn w:val="17"/>
    <w:link w:val="9"/>
    <w:qFormat/>
    <w:uiPriority w:val="0"/>
    <w:rPr>
      <w:rFonts w:ascii="Calibri" w:hAnsi="Calibri"/>
      <w:kern w:val="2"/>
      <w:sz w:val="18"/>
      <w:szCs w:val="18"/>
    </w:rPr>
  </w:style>
  <w:style w:type="paragraph" w:customStyle="1" w:styleId="23">
    <w:name w:val="修订1"/>
    <w:hidden/>
    <w:semiHidden/>
    <w:qFormat/>
    <w:uiPriority w:val="99"/>
    <w:rPr>
      <w:rFonts w:ascii="Calibri" w:hAnsi="Calibri" w:eastAsia="宋体" w:cs="Times New Roman"/>
      <w:kern w:val="2"/>
      <w:sz w:val="21"/>
      <w:szCs w:val="22"/>
      <w:lang w:val="en-US" w:eastAsia="zh-CN" w:bidi="ar-SA"/>
    </w:rPr>
  </w:style>
  <w:style w:type="character" w:customStyle="1" w:styleId="24">
    <w:name w:val="font61"/>
    <w:basedOn w:val="17"/>
    <w:qFormat/>
    <w:uiPriority w:val="0"/>
    <w:rPr>
      <w:rFonts w:hint="default" w:ascii="Times New Roman" w:hAnsi="Times New Roman" w:cs="Times New Roman"/>
      <w:color w:val="000000"/>
      <w:sz w:val="21"/>
      <w:szCs w:val="21"/>
      <w:u w:val="none"/>
    </w:rPr>
  </w:style>
  <w:style w:type="character" w:customStyle="1" w:styleId="25">
    <w:name w:val="font41"/>
    <w:basedOn w:val="17"/>
    <w:qFormat/>
    <w:uiPriority w:val="0"/>
    <w:rPr>
      <w:rFonts w:hint="eastAsia" w:ascii="宋体" w:hAnsi="宋体" w:eastAsia="宋体" w:cs="宋体"/>
      <w:color w:val="000000"/>
      <w:sz w:val="21"/>
      <w:szCs w:val="21"/>
      <w:u w:val="none"/>
    </w:rPr>
  </w:style>
  <w:style w:type="character" w:customStyle="1" w:styleId="26">
    <w:name w:val="正文文本 字符"/>
    <w:basedOn w:val="17"/>
    <w:link w:val="7"/>
    <w:qFormat/>
    <w:uiPriority w:val="0"/>
    <w:rPr>
      <w:rFonts w:ascii="Calibri" w:hAnsi="Calibri"/>
      <w:kern w:val="2"/>
      <w:sz w:val="21"/>
      <w:szCs w:val="22"/>
    </w:rPr>
  </w:style>
  <w:style w:type="character" w:customStyle="1" w:styleId="27">
    <w:name w:val="标题 3 字符"/>
    <w:basedOn w:val="17"/>
    <w:link w:val="5"/>
    <w:semiHidden/>
    <w:qFormat/>
    <w:uiPriority w:val="0"/>
    <w:rPr>
      <w:rFonts w:ascii="Calibri" w:hAnsi="Calibri"/>
      <w:b/>
      <w:bCs/>
      <w:kern w:val="2"/>
      <w:sz w:val="32"/>
      <w:szCs w:val="32"/>
    </w:rPr>
  </w:style>
  <w:style w:type="paragraph" w:customStyle="1" w:styleId="28">
    <w:name w:val="列出段落1"/>
    <w:basedOn w:val="1"/>
    <w:qFormat/>
    <w:uiPriority w:val="34"/>
    <w:pPr>
      <w:tabs>
        <w:tab w:val="left" w:pos="840"/>
      </w:tabs>
      <w:spacing w:line="360" w:lineRule="auto"/>
      <w:ind w:firstLine="420" w:firstLineChars="200"/>
      <w:jc w:val="left"/>
    </w:pPr>
    <w:rPr>
      <w:rFonts w:ascii="Times New Roman" w:hAnsi="Times New Roman"/>
      <w:szCs w:val="21"/>
    </w:rPr>
  </w:style>
  <w:style w:type="character" w:customStyle="1" w:styleId="29">
    <w:name w:val="列表段落 字符"/>
    <w:link w:val="19"/>
    <w:qFormat/>
    <w:uiPriority w:val="34"/>
    <w:rPr>
      <w:kern w:val="2"/>
      <w:sz w:val="21"/>
      <w:szCs w:val="24"/>
    </w:rPr>
  </w:style>
  <w:style w:type="character" w:customStyle="1" w:styleId="30">
    <w:name w:val="标题 字符"/>
    <w:basedOn w:val="17"/>
    <w:link w:val="13"/>
    <w:qFormat/>
    <w:uiPriority w:val="0"/>
    <w:rPr>
      <w:rFonts w:asciiTheme="majorHAnsi" w:hAnsiTheme="majorHAnsi" w:eastAsiaTheme="majorEastAsia" w:cstheme="majorBidi"/>
      <w:b/>
      <w:bCs/>
      <w:kern w:val="2"/>
      <w:sz w:val="32"/>
      <w:szCs w:val="32"/>
    </w:rPr>
  </w:style>
  <w:style w:type="character" w:customStyle="1" w:styleId="31">
    <w:name w:val="批注文字 字符"/>
    <w:basedOn w:val="17"/>
    <w:link w:val="6"/>
    <w:qFormat/>
    <w:uiPriority w:val="0"/>
    <w:rPr>
      <w:rFonts w:ascii="Calibri" w:hAnsi="Calibri"/>
      <w:kern w:val="2"/>
      <w:sz w:val="21"/>
      <w:szCs w:val="22"/>
    </w:rPr>
  </w:style>
  <w:style w:type="character" w:customStyle="1" w:styleId="32">
    <w:name w:val="批注主题 字符"/>
    <w:basedOn w:val="31"/>
    <w:link w:val="14"/>
    <w:qFormat/>
    <w:uiPriority w:val="0"/>
    <w:rPr>
      <w:rFonts w:ascii="Calibri" w:hAnsi="Calibri"/>
      <w:b/>
      <w:bCs/>
      <w:kern w:val="2"/>
      <w:sz w:val="21"/>
      <w:szCs w:val="22"/>
    </w:rPr>
  </w:style>
  <w:style w:type="paragraph" w:customStyle="1" w:styleId="33">
    <w:name w:val="msolistparagraph"/>
    <w:basedOn w:val="1"/>
    <w:qFormat/>
    <w:uiPriority w:val="0"/>
    <w:pPr>
      <w:ind w:firstLine="420" w:firstLineChars="200"/>
    </w:pPr>
  </w:style>
  <w:style w:type="character" w:customStyle="1" w:styleId="34">
    <w:name w:val="表格中的文字 Char"/>
    <w:link w:val="35"/>
    <w:qFormat/>
    <w:uiPriority w:val="99"/>
    <w:rPr>
      <w:rFonts w:cs="宋体"/>
      <w:kern w:val="2"/>
      <w:sz w:val="21"/>
    </w:rPr>
  </w:style>
  <w:style w:type="paragraph" w:customStyle="1" w:styleId="35">
    <w:name w:val="表格中的文字"/>
    <w:basedOn w:val="1"/>
    <w:next w:val="1"/>
    <w:link w:val="34"/>
    <w:qFormat/>
    <w:uiPriority w:val="99"/>
    <w:pPr>
      <w:jc w:val="left"/>
    </w:pPr>
    <w:rPr>
      <w:rFonts w:cs="宋体"/>
      <w:szCs w:val="20"/>
    </w:rPr>
  </w:style>
  <w:style w:type="paragraph" w:customStyle="1" w:styleId="36">
    <w:name w:val="表格首行文字"/>
    <w:basedOn w:val="35"/>
    <w:next w:val="1"/>
    <w:qFormat/>
    <w:uiPriority w:val="0"/>
    <w:pPr>
      <w:jc w:val="center"/>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HP</Company>
  <Pages>18</Pages>
  <Words>1830</Words>
  <Characters>10434</Characters>
  <Lines>86</Lines>
  <Paragraphs>24</Paragraphs>
  <TotalTime>31</TotalTime>
  <ScaleCrop>false</ScaleCrop>
  <LinksUpToDate>false</LinksUpToDate>
  <CharactersWithSpaces>12240</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2024-07-18T20:57:00Z</dcterms:created>
  <dc:creator>袁艺东</dc:creator>
  <cp:lastModifiedBy>Administrator</cp:lastModifiedBy>
  <dcterms:modified xsi:type="dcterms:W3CDTF">2025-01-07T11:02:19Z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5A1739E4161443D8B54D91F5BC4C2542</vt:lpwstr>
  </property>
</Properties>
</file>